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7B6E49">
      <w:pPr>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210" w:leftChars="100" w:right="0" w:firstLine="623" w:firstLineChars="200"/>
        <w:jc w:val="center"/>
        <w:textAlignment w:val="baseline"/>
        <w:rPr>
          <w:rFonts w:hint="default" w:ascii="宋体" w:hAnsi="宋体" w:eastAsia="宋体" w:cs="宋体"/>
          <w:b/>
          <w:bCs/>
          <w:spacing w:val="-5"/>
          <w:sz w:val="24"/>
          <w:szCs w:val="24"/>
          <w:lang w:val="en-US" w:eastAsia="zh-CN"/>
        </w:rPr>
      </w:pPr>
      <w:r>
        <w:rPr>
          <w:rFonts w:hint="eastAsia" w:ascii="宋体" w:hAnsi="宋体" w:eastAsia="宋体" w:cs="宋体"/>
          <w:b/>
          <w:bCs/>
          <w:spacing w:val="-5"/>
          <w:sz w:val="32"/>
          <w:szCs w:val="32"/>
        </w:rPr>
        <w:t>响肠镇无愁村吴老屋片县城自来水管网延伸工程集成一体化净化泵站设备</w:t>
      </w:r>
      <w:r>
        <w:rPr>
          <w:rFonts w:hint="eastAsia" w:ascii="宋体" w:hAnsi="宋体" w:eastAsia="宋体" w:cs="宋体"/>
          <w:b/>
          <w:bCs/>
          <w:spacing w:val="-5"/>
          <w:sz w:val="32"/>
          <w:szCs w:val="32"/>
          <w:lang w:val="en-US" w:eastAsia="zh-CN"/>
        </w:rPr>
        <w:t>技术参数</w:t>
      </w:r>
    </w:p>
    <w:p w14:paraId="0E67024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6" w:firstLineChars="200"/>
        <w:jc w:val="both"/>
        <w:textAlignment w:val="baseline"/>
        <w:rPr>
          <w:rFonts w:hint="eastAsia" w:asciiTheme="minorEastAsia" w:hAnsiTheme="minorEastAsia" w:eastAsiaTheme="minorEastAsia" w:cstheme="minorEastAsia"/>
          <w:b/>
          <w:bCs/>
          <w:spacing w:val="-4"/>
          <w:sz w:val="28"/>
          <w:szCs w:val="28"/>
        </w:rPr>
      </w:pPr>
      <w:r>
        <w:rPr>
          <w:rFonts w:hint="eastAsia" w:asciiTheme="minorEastAsia" w:hAnsiTheme="minorEastAsia" w:eastAsiaTheme="minorEastAsia" w:cstheme="minorEastAsia"/>
          <w:b/>
          <w:bCs/>
          <w:spacing w:val="-4"/>
          <w:sz w:val="28"/>
          <w:szCs w:val="28"/>
          <w:lang w:val="en-US" w:eastAsia="zh-CN"/>
        </w:rPr>
        <w:t>一、</w:t>
      </w:r>
      <w:r>
        <w:rPr>
          <w:rFonts w:hint="eastAsia" w:asciiTheme="minorEastAsia" w:hAnsiTheme="minorEastAsia" w:eastAsiaTheme="minorEastAsia" w:cstheme="minorEastAsia"/>
          <w:b/>
          <w:bCs/>
          <w:spacing w:val="-4"/>
          <w:sz w:val="28"/>
          <w:szCs w:val="28"/>
        </w:rPr>
        <w:t>一体化智慧集成供水泵站设备</w:t>
      </w:r>
    </w:p>
    <w:p w14:paraId="33D9104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6" w:firstLineChars="200"/>
        <w:jc w:val="both"/>
        <w:textAlignment w:val="baseline"/>
        <w:rPr>
          <w:rFonts w:hint="eastAsia" w:asciiTheme="minorEastAsia" w:hAnsiTheme="minorEastAsia" w:eastAsiaTheme="minorEastAsia" w:cstheme="minorEastAsia"/>
          <w:b w:val="0"/>
          <w:bCs w:val="0"/>
          <w:spacing w:val="-4"/>
          <w:sz w:val="28"/>
          <w:szCs w:val="28"/>
          <w:lang w:eastAsia="zh-CN"/>
        </w:rPr>
      </w:pPr>
      <w:r>
        <w:rPr>
          <w:rFonts w:hint="eastAsia" w:asciiTheme="minorEastAsia" w:hAnsiTheme="minorEastAsia" w:eastAsiaTheme="minorEastAsia" w:cstheme="minorEastAsia"/>
          <w:b/>
          <w:bCs/>
          <w:spacing w:val="-4"/>
          <w:sz w:val="28"/>
          <w:szCs w:val="28"/>
          <w:lang w:eastAsia="zh-CN"/>
        </w:rPr>
        <w:t>（</w:t>
      </w:r>
      <w:r>
        <w:rPr>
          <w:rFonts w:hint="eastAsia" w:asciiTheme="minorEastAsia" w:hAnsiTheme="minorEastAsia" w:eastAsiaTheme="minorEastAsia" w:cstheme="minorEastAsia"/>
          <w:b/>
          <w:bCs/>
          <w:spacing w:val="-4"/>
          <w:sz w:val="28"/>
          <w:szCs w:val="28"/>
          <w:lang w:val="en-US" w:eastAsia="zh-CN"/>
        </w:rPr>
        <w:t>一</w:t>
      </w:r>
      <w:r>
        <w:rPr>
          <w:rFonts w:hint="eastAsia" w:asciiTheme="minorEastAsia" w:hAnsiTheme="minorEastAsia" w:eastAsiaTheme="minorEastAsia" w:cstheme="minorEastAsia"/>
          <w:b/>
          <w:bCs/>
          <w:spacing w:val="-4"/>
          <w:sz w:val="28"/>
          <w:szCs w:val="28"/>
          <w:lang w:eastAsia="zh-CN"/>
        </w:rPr>
        <w:t>）、</w:t>
      </w:r>
      <w:r>
        <w:rPr>
          <w:rFonts w:hint="eastAsia" w:asciiTheme="minorEastAsia" w:hAnsiTheme="minorEastAsia" w:eastAsiaTheme="minorEastAsia" w:cstheme="minorEastAsia"/>
          <w:b/>
          <w:bCs/>
          <w:spacing w:val="-4"/>
          <w:sz w:val="28"/>
          <w:szCs w:val="28"/>
          <w:lang w:val="en-US" w:eastAsia="zh-CN"/>
        </w:rPr>
        <w:t>配置要求：</w:t>
      </w:r>
      <w:r>
        <w:rPr>
          <w:rFonts w:hint="eastAsia" w:asciiTheme="minorEastAsia" w:hAnsiTheme="minorEastAsia" w:eastAsiaTheme="minorEastAsia" w:cstheme="minorEastAsia"/>
          <w:b w:val="0"/>
          <w:bCs w:val="0"/>
          <w:spacing w:val="-4"/>
          <w:sz w:val="28"/>
          <w:szCs w:val="28"/>
        </w:rPr>
        <w:t>含生活水箱8.55X3.0X2.5m、水质处理仪PTBW02-WSB1-X23d、3台给水泵Q=10m3/hH=90mN=11KW、稳压灌GWS-100L-1.6MPa、消毒设备</w:t>
      </w:r>
      <w:r>
        <w:rPr>
          <w:rFonts w:hint="eastAsia" w:asciiTheme="minorEastAsia" w:hAnsiTheme="minorEastAsia" w:eastAsiaTheme="minorEastAsia" w:cstheme="minorEastAsia"/>
          <w:b w:val="0"/>
          <w:bCs w:val="0"/>
          <w:spacing w:val="-4"/>
          <w:sz w:val="28"/>
          <w:szCs w:val="28"/>
          <w:lang w:eastAsia="zh-CN"/>
        </w:rPr>
        <w:t>。</w:t>
      </w:r>
    </w:p>
    <w:p w14:paraId="01AF0C4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6" w:firstLineChars="200"/>
        <w:jc w:val="both"/>
        <w:textAlignment w:val="baseline"/>
        <w:rPr>
          <w:rFonts w:hint="eastAsia" w:asciiTheme="minorEastAsia" w:hAnsiTheme="minorEastAsia" w:eastAsiaTheme="minorEastAsia" w:cstheme="minorEastAsia"/>
          <w:b/>
          <w:bCs/>
          <w:spacing w:val="-4"/>
          <w:sz w:val="28"/>
          <w:szCs w:val="28"/>
          <w:lang w:val="en-US" w:eastAsia="zh-CN"/>
        </w:rPr>
      </w:pPr>
      <w:r>
        <w:rPr>
          <w:rFonts w:hint="eastAsia" w:asciiTheme="minorEastAsia" w:hAnsiTheme="minorEastAsia" w:eastAsiaTheme="minorEastAsia" w:cstheme="minorEastAsia"/>
          <w:b/>
          <w:bCs/>
          <w:spacing w:val="-4"/>
          <w:sz w:val="28"/>
          <w:szCs w:val="28"/>
          <w:lang w:eastAsia="zh-CN"/>
        </w:rPr>
        <w:t>（</w:t>
      </w:r>
      <w:r>
        <w:rPr>
          <w:rFonts w:hint="eastAsia" w:asciiTheme="minorEastAsia" w:hAnsiTheme="minorEastAsia" w:eastAsiaTheme="minorEastAsia" w:cstheme="minorEastAsia"/>
          <w:b/>
          <w:bCs/>
          <w:spacing w:val="-4"/>
          <w:sz w:val="28"/>
          <w:szCs w:val="28"/>
          <w:lang w:val="en-US" w:eastAsia="zh-CN"/>
        </w:rPr>
        <w:t>二</w:t>
      </w:r>
      <w:r>
        <w:rPr>
          <w:rFonts w:hint="eastAsia" w:asciiTheme="minorEastAsia" w:hAnsiTheme="minorEastAsia" w:eastAsiaTheme="minorEastAsia" w:cstheme="minorEastAsia"/>
          <w:b/>
          <w:bCs/>
          <w:spacing w:val="-4"/>
          <w:sz w:val="28"/>
          <w:szCs w:val="28"/>
          <w:lang w:eastAsia="zh-CN"/>
        </w:rPr>
        <w:t>）、</w:t>
      </w:r>
      <w:r>
        <w:rPr>
          <w:rFonts w:hint="eastAsia" w:asciiTheme="minorEastAsia" w:hAnsiTheme="minorEastAsia" w:eastAsiaTheme="minorEastAsia" w:cstheme="minorEastAsia"/>
          <w:b/>
          <w:bCs/>
          <w:spacing w:val="-4"/>
          <w:sz w:val="28"/>
          <w:szCs w:val="28"/>
          <w:lang w:val="en-US" w:eastAsia="zh-CN"/>
        </w:rPr>
        <w:t>技术标准要求：</w:t>
      </w:r>
    </w:p>
    <w:p w14:paraId="741193D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《无负压管网增压稳流给水设备》GB/T26003</w:t>
      </w:r>
    </w:p>
    <w:p w14:paraId="5E01D8D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《罐式叠压给水设备》GB/T24912</w:t>
      </w:r>
    </w:p>
    <w:p w14:paraId="35FBC2E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《箱式叠压给水设备》GB/T24603</w:t>
      </w:r>
    </w:p>
    <w:p w14:paraId="7C9C271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《离心泵技术条件（III 类）》GB/T5657</w:t>
      </w:r>
    </w:p>
    <w:p w14:paraId="6C22133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《水泵流量的测定方法》GB/T3214</w:t>
      </w:r>
    </w:p>
    <w:p w14:paraId="200903A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《钢制压力容器》GB150</w:t>
      </w:r>
    </w:p>
    <w:p w14:paraId="657D777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《旋转电机定额和性能》GB/T755</w:t>
      </w:r>
    </w:p>
    <w:p w14:paraId="4566C8B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《电气控制设备》GB/T3797</w:t>
      </w:r>
    </w:p>
    <w:p w14:paraId="70AE763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《外壳防护等级》GB/T4208</w:t>
      </w:r>
    </w:p>
    <w:p w14:paraId="127DD74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《流体输送用不锈钢焊接钢管》GB/T12771 最新标准，其他配件执行相应国家最新标准要求；</w:t>
      </w:r>
    </w:p>
    <w:p w14:paraId="09C1458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产品卫生性能须符合《生活饮用水输配水设备及防护材料的安全性评价标准》 GB/T17219 最新标准要求；以及招标人（甲方）的安防系统、控制系统等细化设计标准。</w:t>
      </w:r>
    </w:p>
    <w:p w14:paraId="2E6C2AA3">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leftChars="200" w:right="0" w:rightChars="0" w:firstLine="546" w:firstLineChars="200"/>
        <w:jc w:val="both"/>
        <w:textAlignment w:val="baseline"/>
        <w:rPr>
          <w:rFonts w:hint="eastAsia" w:asciiTheme="minorEastAsia" w:hAnsiTheme="minorEastAsia" w:eastAsiaTheme="minorEastAsia" w:cstheme="minorEastAsia"/>
          <w:b/>
          <w:bCs/>
          <w:spacing w:val="-4"/>
          <w:sz w:val="28"/>
          <w:szCs w:val="28"/>
          <w:lang w:val="en-US" w:eastAsia="zh-CN"/>
        </w:rPr>
      </w:pPr>
      <w:r>
        <w:rPr>
          <w:rFonts w:hint="eastAsia" w:asciiTheme="minorEastAsia" w:hAnsiTheme="minorEastAsia" w:eastAsiaTheme="minorEastAsia" w:cstheme="minorEastAsia"/>
          <w:b/>
          <w:bCs/>
          <w:spacing w:val="-4"/>
          <w:sz w:val="28"/>
          <w:szCs w:val="28"/>
          <w:lang w:val="en-US" w:eastAsia="zh-CN"/>
        </w:rPr>
        <w:t>、推荐厂家：熊猫机械、南方智水、舜禹水务、威派格、青岛三利（排名不分先后）。</w:t>
      </w:r>
    </w:p>
    <w:p w14:paraId="08F2055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466" w:firstLineChars="200"/>
        <w:jc w:val="both"/>
        <w:textAlignment w:val="baseline"/>
        <w:rPr>
          <w:rFonts w:hint="default" w:ascii="宋体" w:hAnsi="宋体" w:eastAsia="宋体" w:cs="宋体"/>
          <w:b/>
          <w:bCs/>
          <w:spacing w:val="-4"/>
          <w:sz w:val="24"/>
          <w:szCs w:val="24"/>
          <w:lang w:val="en-US" w:eastAsia="zh-CN"/>
        </w:rPr>
      </w:pPr>
    </w:p>
    <w:p w14:paraId="4E5EB7C7">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b/>
          <w:bCs/>
          <w:spacing w:val="-5"/>
          <w:sz w:val="32"/>
          <w:szCs w:val="32"/>
        </w:rPr>
      </w:pPr>
    </w:p>
    <w:p w14:paraId="2DF55E2E">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b/>
          <w:bCs/>
          <w:spacing w:val="-5"/>
          <w:sz w:val="32"/>
          <w:szCs w:val="32"/>
        </w:rPr>
      </w:pPr>
    </w:p>
    <w:p w14:paraId="0ABFC24F">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b/>
          <w:bCs/>
          <w:spacing w:val="-5"/>
          <w:sz w:val="28"/>
          <w:szCs w:val="28"/>
          <w:lang w:val="en-US" w:eastAsia="zh-CN"/>
        </w:rPr>
      </w:pPr>
      <w:r>
        <w:rPr>
          <w:rFonts w:hint="eastAsia" w:ascii="宋体" w:hAnsi="宋体" w:eastAsia="宋体" w:cs="宋体"/>
          <w:b/>
          <w:bCs/>
          <w:spacing w:val="-5"/>
          <w:sz w:val="32"/>
          <w:szCs w:val="32"/>
        </w:rPr>
        <w:t>集成一体化净化泵站</w:t>
      </w:r>
      <w:r>
        <w:rPr>
          <w:rFonts w:hint="eastAsia" w:asciiTheme="minorEastAsia" w:hAnsiTheme="minorEastAsia" w:eastAsiaTheme="minorEastAsia" w:cstheme="minorEastAsia"/>
          <w:b/>
          <w:bCs/>
          <w:spacing w:val="-5"/>
          <w:sz w:val="28"/>
          <w:szCs w:val="28"/>
          <w:lang w:val="en-US" w:eastAsia="zh-CN"/>
        </w:rPr>
        <w:t>主要</w:t>
      </w:r>
      <w:r>
        <w:rPr>
          <w:rFonts w:hint="eastAsia" w:asciiTheme="minorEastAsia" w:hAnsiTheme="minorEastAsia" w:eastAsiaTheme="minorEastAsia" w:cstheme="minorEastAsia"/>
          <w:b/>
          <w:bCs/>
          <w:spacing w:val="-5"/>
          <w:sz w:val="28"/>
          <w:szCs w:val="28"/>
        </w:rPr>
        <w:t>设备</w:t>
      </w:r>
      <w:r>
        <w:rPr>
          <w:rFonts w:hint="eastAsia" w:asciiTheme="minorEastAsia" w:hAnsiTheme="minorEastAsia" w:eastAsiaTheme="minorEastAsia" w:cstheme="minorEastAsia"/>
          <w:b/>
          <w:bCs/>
          <w:spacing w:val="-5"/>
          <w:sz w:val="28"/>
          <w:szCs w:val="28"/>
          <w:lang w:val="en-US" w:eastAsia="zh-CN"/>
        </w:rPr>
        <w:t>技术参数</w:t>
      </w:r>
    </w:p>
    <w:p w14:paraId="32D50910">
      <w:pPr>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left="0" w:right="0" w:firstLine="526" w:firstLineChars="200"/>
        <w:jc w:val="both"/>
        <w:textAlignment w:val="baseline"/>
        <w:rPr>
          <w:rFonts w:hint="eastAsia" w:asciiTheme="minorEastAsia" w:hAnsiTheme="minorEastAsia" w:eastAsiaTheme="minorEastAsia" w:cstheme="minorEastAsia"/>
          <w:b/>
          <w:bCs/>
          <w:spacing w:val="-9"/>
          <w:sz w:val="28"/>
          <w:szCs w:val="28"/>
        </w:rPr>
      </w:pPr>
      <w:r>
        <w:rPr>
          <w:rFonts w:hint="eastAsia" w:asciiTheme="minorEastAsia" w:hAnsiTheme="minorEastAsia" w:eastAsiaTheme="minorEastAsia" w:cstheme="minorEastAsia"/>
          <w:b/>
          <w:bCs/>
          <w:spacing w:val="-9"/>
          <w:sz w:val="28"/>
          <w:szCs w:val="28"/>
        </w:rPr>
        <w:t>角部无泄漏不锈钢水箱</w:t>
      </w:r>
    </w:p>
    <w:p w14:paraId="37D912C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jc w:val="both"/>
        <w:textAlignment w:val="baseline"/>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eastAsia="zh-CN"/>
        </w:rPr>
        <w:t>（</w:t>
      </w:r>
      <w:r>
        <w:rPr>
          <w:rFonts w:hint="eastAsia" w:asciiTheme="minorEastAsia" w:hAnsiTheme="minorEastAsia" w:eastAsiaTheme="minorEastAsia" w:cstheme="minorEastAsia"/>
          <w:b/>
          <w:bCs/>
          <w:sz w:val="28"/>
          <w:szCs w:val="28"/>
          <w:lang w:val="en-US" w:eastAsia="zh-CN"/>
        </w:rPr>
        <w:t>一</w:t>
      </w:r>
      <w:r>
        <w:rPr>
          <w:rFonts w:hint="eastAsia" w:asciiTheme="minorEastAsia" w:hAnsiTheme="minorEastAsia" w:eastAsiaTheme="minorEastAsia" w:cstheme="minorEastAsia"/>
          <w:b/>
          <w:bCs/>
          <w:sz w:val="28"/>
          <w:szCs w:val="28"/>
          <w:lang w:eastAsia="zh-CN"/>
        </w:rPr>
        <w:t>）、</w:t>
      </w:r>
      <w:r>
        <w:rPr>
          <w:rFonts w:hint="eastAsia" w:asciiTheme="minorEastAsia" w:hAnsiTheme="minorEastAsia" w:eastAsiaTheme="minorEastAsia" w:cstheme="minorEastAsia"/>
          <w:b/>
          <w:bCs/>
          <w:sz w:val="28"/>
          <w:szCs w:val="28"/>
          <w:lang w:val="en-US" w:eastAsia="zh-CN"/>
        </w:rPr>
        <w:t>配置要求</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b w:val="0"/>
          <w:bCs w:val="0"/>
          <w:spacing w:val="-4"/>
          <w:sz w:val="28"/>
          <w:szCs w:val="28"/>
        </w:rPr>
        <w:t>8.55X3.0X2.5m</w:t>
      </w:r>
      <w:r>
        <w:rPr>
          <w:rFonts w:hint="eastAsia" w:asciiTheme="minorEastAsia" w:hAnsiTheme="minorEastAsia" w:eastAsiaTheme="minorEastAsia" w:cstheme="minorEastAsia"/>
          <w:sz w:val="28"/>
          <w:szCs w:val="28"/>
          <w:lang w:val="en-US" w:eastAsia="zh-CN"/>
        </w:rPr>
        <w:t>，水箱有效容积64m³，含设备间（2X3X2），含水箱保温（包含以下附属设施：不锈钢水箱、不锈钢遥控浮球阀、一体式超声波液位计、不锈钢人孔（双锁）、不锈钢爬梯、水箱呼吸器、消毒器等）。</w:t>
      </w:r>
      <w:bookmarkStart w:id="0" w:name="_GoBack"/>
      <w:bookmarkEnd w:id="0"/>
    </w:p>
    <w:p w14:paraId="0726544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jc w:val="both"/>
        <w:textAlignment w:val="baseline"/>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（二）、技术标准要求：</w:t>
      </w:r>
    </w:p>
    <w:p w14:paraId="21BEFC2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560" w:firstLineChars="200"/>
        <w:jc w:val="both"/>
        <w:textAlignment w:val="baseline"/>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1.水箱所有接口均预留丝口或法兰接口，外接进出水和排污。</w:t>
      </w:r>
    </w:p>
    <w:p w14:paraId="3ECB6EB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560" w:firstLineChars="200"/>
        <w:jc w:val="both"/>
        <w:textAlignment w:val="baseline"/>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2.水箱预留进出口（优先考虑侧人孔），以便清洗。保证出口安全。</w:t>
      </w:r>
    </w:p>
    <w:p w14:paraId="76A006D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560" w:firstLineChars="200"/>
        <w:jc w:val="both"/>
        <w:textAlignment w:val="baseline"/>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3.箱内焊缝焊接平整，不能渗水，不能留有焊渣，整个水箱箱体外部为双层保温结构。</w:t>
      </w:r>
    </w:p>
    <w:p w14:paraId="2106845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560" w:firstLineChars="200"/>
        <w:jc w:val="both"/>
        <w:textAlignment w:val="baseline"/>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4、不锈钢板给水箱必须具备卫生行政主管部门颁发的卫生许可批件，投标人须在投标文件中提供卫生许可批件扫描件 ，不锈钢材质不低于 S30408；不锈钢板厚度不低于2mm，外形美观。</w:t>
      </w:r>
    </w:p>
    <w:p w14:paraId="5174F67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sz w:val="28"/>
          <w:szCs w:val="28"/>
          <w:lang w:val="en-US" w:eastAsia="zh-CN"/>
        </w:rPr>
        <w:t>5、组合式不锈钢水箱配套的消毒器厂家须具备卫生部门颁发的卫生许可批件，投标人须在投标文件中提供卫生许可批件扫描件，否则投标无效。</w:t>
      </w:r>
    </w:p>
    <w:p w14:paraId="10DCE54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pacing w:val="-9"/>
          <w:sz w:val="28"/>
          <w:szCs w:val="28"/>
          <w:lang w:val="en-US" w:eastAsia="zh-CN"/>
        </w:rPr>
        <w:t>二、</w:t>
      </w:r>
      <w:r>
        <w:rPr>
          <w:rFonts w:hint="eastAsia" w:asciiTheme="minorEastAsia" w:hAnsiTheme="minorEastAsia" w:eastAsiaTheme="minorEastAsia" w:cstheme="minorEastAsia"/>
          <w:b/>
          <w:bCs/>
          <w:spacing w:val="-9"/>
          <w:sz w:val="28"/>
          <w:szCs w:val="28"/>
        </w:rPr>
        <w:t>不锈钢主泵：</w:t>
      </w:r>
    </w:p>
    <w:p w14:paraId="77C6AA0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（一）、配置要求：Q=10.0m3/h；H=90m；P=11kW</w:t>
      </w:r>
    </w:p>
    <w:p w14:paraId="456F99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（二）、技术标准要求：</w:t>
      </w:r>
    </w:p>
    <w:p w14:paraId="2A308BD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1、离心水泵：效率应符合《清水离心泵能效限定值及节能评价值》GB19762最新标准规定的节能评价值标准。</w:t>
      </w:r>
    </w:p>
    <w:p w14:paraId="6F9F2F4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2、水泵腔体及其他部件材质S30408（06Cr19Ni10）。3、水泵噪声应符合现行标准《泵的噪声测量与评价方法》GB/T 29529 最新标准中的 B 级或以上要求；水泵振动应符合现行标准《泵的振动测量与评价方法》GB/T 29531 最新标准中的 B 级或以上要求。</w:t>
      </w:r>
    </w:p>
    <w:p w14:paraId="47A7A65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3、机械密封动、静环采用碳化硅材料，O 形圈采用氟橡胶材料，弹簧及结构件采用 S30408(06Cr19Ni10)不锈钢。</w:t>
      </w:r>
    </w:p>
    <w:p w14:paraId="6E91F2E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4、旋转部件轴承应为国内外优质品牌产品，要求运行时轻快、平稳，无杂音，采用润滑油、润滑脂润滑，使用寿命不小于8万小时。</w:t>
      </w:r>
    </w:p>
    <w:p w14:paraId="45C3DDF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5、电机基本参数：电源:380V/50Hz,效率:二级能效及以上,额定转速:≤980r/min；4 级电机≤1480r/min；2 级电机≤ 2950r/min,绝缘等级:F 级及以上,防护等级:IP55,电气标准:IEC</w:t>
      </w:r>
    </w:p>
    <w:p w14:paraId="04BF520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（三）、推荐品牌：</w:t>
      </w:r>
      <w:r>
        <w:rPr>
          <w:rFonts w:hint="eastAsia" w:asciiTheme="minorEastAsia" w:hAnsiTheme="minorEastAsia" w:eastAsiaTheme="minorEastAsia" w:cstheme="minorEastAsia"/>
          <w:b w:val="0"/>
          <w:bCs w:val="0"/>
          <w:spacing w:val="-2"/>
          <w:sz w:val="28"/>
          <w:szCs w:val="28"/>
          <w:lang w:val="en-US" w:eastAsia="zh-CN"/>
        </w:rPr>
        <w:t>格兰富、南方、舜禹、熊猫（主泵轴承推荐SKF、 FAG、NSK），排名不分先后。</w:t>
      </w:r>
    </w:p>
    <w:p w14:paraId="47032A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三、不锈钢泵组成套附件要求：</w:t>
      </w:r>
    </w:p>
    <w:p w14:paraId="53DBD0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1、阀门及其他配件应采用食品级 304（06Cr19Ni10）或质量更高的不锈钢材质（阀门过水断面必须为食品级 304（06Cr19Ni10）不锈钢），且应符合《生活饮用水输配水设备及防护材料的安全性评价标准》GB/T 17219。管路配用的阀门等配件均应采用标准件。</w:t>
      </w:r>
    </w:p>
    <w:p w14:paraId="22185D5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2、不锈钢管材应符合《流体输送用不锈钢焊接钢管》（GB/T12771）最新标准，不锈钢材料为食品级 S30408（06Cr19Ni10）及以上等级材料,其管壁厚度≥ 4mm。</w:t>
      </w:r>
    </w:p>
    <w:p w14:paraId="54AE4A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四、稳压缓冲罐（100L;1.6Mpa）</w:t>
      </w:r>
    </w:p>
    <w:p w14:paraId="5E102DF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采用隔膜式，材质选用食品级 304(国标)不锈钢，选用食品级橡胶，压力罐顶部设置压力表。压力表与气压罐体连接处使用紫铜缓冲管。气压罐应设置检修阀（球阀）。气压罐铭牌应注明：设计压力、容积、生产日期、制造许可证编号。气压罐与管道连接应设置检修 S30408 明杆闸阀。气压罐底部须设置排水阀门，口径不低于DN40。</w:t>
      </w:r>
    </w:p>
    <w:p w14:paraId="302E73E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五、主水箱臭氧水箱自洁消毒器（WTS-2A(20-80T)）</w:t>
      </w:r>
    </w:p>
    <w:p w14:paraId="289C97F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适配水箱容积20--80m³，AC220V，功率≤300W；控制柜+304不锈钢水下释能器组件，微电脑定时自动运行；符合GB28232‑2020，提供卫生检测报告，含全套安装附件。</w:t>
      </w:r>
    </w:p>
    <w:p w14:paraId="19D0DCB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六、变频恒压不锈钢控制柜（设备尺寸：1800*800*600）</w:t>
      </w:r>
    </w:p>
    <w:p w14:paraId="24F7BC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（一）、</w:t>
      </w:r>
      <w:r>
        <w:rPr>
          <w:rFonts w:hint="eastAsia" w:asciiTheme="minorEastAsia" w:hAnsiTheme="minorEastAsia" w:eastAsiaTheme="minorEastAsia" w:cstheme="minorEastAsia"/>
          <w:b/>
          <w:bCs/>
          <w:spacing w:val="-2"/>
          <w:sz w:val="28"/>
          <w:szCs w:val="28"/>
          <w:lang w:val="en-US" w:eastAsia="zh-CN"/>
        </w:rPr>
        <w:t>技术标准要求</w:t>
      </w:r>
    </w:p>
    <w:p w14:paraId="7F76C50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1、变频控制柜应符合现行国家标准《电气控制设备》GB/T 3797 最新标准的规定；柜体的外形尺寸符合《高度进制为 20mm的面板、架和柜的基本尺寸系列》GB/T 3047.1 最新标准的规定，并能满足电器元件的安装间距，</w:t>
      </w:r>
    </w:p>
    <w:p w14:paraId="3C04598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2、变频控制柜靠墙安装，柜顶上装有散热风扇，可强制散热。钢板壁厚≥2 ㎜，表面静电喷涂处理。柜体内设有排风散热风扇与自动启闭装置联动。柜体内设有照明装置，并与柜门启闭装置联动，便于检修。防护等级达到 IP55 及以上等级，3、电缆要求</w:t>
      </w:r>
    </w:p>
    <w:p w14:paraId="36186F4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0" w:firstLineChars="200"/>
        <w:textAlignment w:val="baseline"/>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pacing w:val="-5"/>
          <w:sz w:val="28"/>
          <w:szCs w:val="28"/>
          <w:lang w:val="en-US" w:eastAsia="zh-CN"/>
        </w:rPr>
        <w:t>（1</w:t>
      </w:r>
      <w:r>
        <w:rPr>
          <w:rFonts w:hint="eastAsia" w:asciiTheme="minorEastAsia" w:hAnsiTheme="minorEastAsia" w:eastAsiaTheme="minorEastAsia" w:cstheme="minorEastAsia"/>
          <w:b w:val="0"/>
          <w:bCs w:val="0"/>
          <w:spacing w:val="-5"/>
          <w:sz w:val="28"/>
          <w:szCs w:val="28"/>
          <w:lang w:eastAsia="zh-CN"/>
        </w:rPr>
        <w:t>）</w:t>
      </w:r>
      <w:r>
        <w:rPr>
          <w:rFonts w:hint="eastAsia" w:asciiTheme="minorEastAsia" w:hAnsiTheme="minorEastAsia" w:eastAsiaTheme="minorEastAsia" w:cstheme="minorEastAsia"/>
          <w:b w:val="0"/>
          <w:bCs w:val="0"/>
          <w:spacing w:val="-5"/>
          <w:sz w:val="28"/>
          <w:szCs w:val="28"/>
        </w:rPr>
        <w:t>动力电缆的要求</w:t>
      </w:r>
    </w:p>
    <w:p w14:paraId="3F982F9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①动力连接线不得采用电线联接，应采用多芯电缆联接；</w:t>
      </w:r>
    </w:p>
    <w:p w14:paraId="5DF19C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②动力电缆应采用铜芯电缆；</w:t>
      </w:r>
    </w:p>
    <w:p w14:paraId="6980ABB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8"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3"/>
          <w:sz w:val="28"/>
          <w:szCs w:val="28"/>
        </w:rPr>
        <w:t>③动力电缆的截面积应按电机长期工作工况选择，并应考</w:t>
      </w:r>
      <w:r>
        <w:rPr>
          <w:rFonts w:hint="eastAsia" w:asciiTheme="minorEastAsia" w:hAnsiTheme="minorEastAsia" w:eastAsiaTheme="minorEastAsia" w:cstheme="minorEastAsia"/>
          <w:spacing w:val="-4"/>
          <w:sz w:val="28"/>
          <w:szCs w:val="28"/>
        </w:rPr>
        <w:t>虑变频谐波电流的影响；</w:t>
      </w:r>
    </w:p>
    <w:p w14:paraId="3FAF41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④动力电缆最小载面积应满足短路热稳定校验；</w:t>
      </w:r>
    </w:p>
    <w:p w14:paraId="5828A9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⑤动力电缆绝缘耐压不得低于</w:t>
      </w:r>
      <w:r>
        <w:rPr>
          <w:rFonts w:hint="eastAsia" w:asciiTheme="minorEastAsia" w:hAnsiTheme="minorEastAsia" w:eastAsiaTheme="minorEastAsia" w:cstheme="minorEastAsia"/>
          <w:spacing w:val="-48"/>
          <w:sz w:val="28"/>
          <w:szCs w:val="28"/>
        </w:rPr>
        <w:t xml:space="preserve"> </w:t>
      </w:r>
      <w:r>
        <w:rPr>
          <w:rFonts w:hint="eastAsia" w:asciiTheme="minorEastAsia" w:hAnsiTheme="minorEastAsia" w:eastAsiaTheme="minorEastAsia" w:cstheme="minorEastAsia"/>
          <w:spacing w:val="-1"/>
          <w:sz w:val="28"/>
          <w:szCs w:val="28"/>
        </w:rPr>
        <w:t>0.6/1kV；</w:t>
      </w:r>
    </w:p>
    <w:p w14:paraId="041889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⑥动力电缆中间不得有接头；</w:t>
      </w:r>
    </w:p>
    <w:p w14:paraId="45DD023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⑦电机电缆应使用变频电缆；</w:t>
      </w:r>
    </w:p>
    <w:p w14:paraId="7860E8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⑧电机电缆长度不得超过变频器厂家规定的最长使用长度。</w:t>
      </w:r>
    </w:p>
    <w:p w14:paraId="1D7C62E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4" w:firstLineChars="200"/>
        <w:textAlignment w:val="baseline"/>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pacing w:val="-4"/>
          <w:sz w:val="28"/>
          <w:szCs w:val="28"/>
          <w:lang w:eastAsia="zh-CN"/>
        </w:rPr>
        <w:t>（</w:t>
      </w:r>
      <w:r>
        <w:rPr>
          <w:rFonts w:hint="eastAsia" w:asciiTheme="minorEastAsia" w:hAnsiTheme="minorEastAsia" w:eastAsiaTheme="minorEastAsia" w:cstheme="minorEastAsia"/>
          <w:b w:val="0"/>
          <w:bCs w:val="0"/>
          <w:spacing w:val="-4"/>
          <w:sz w:val="28"/>
          <w:szCs w:val="28"/>
          <w:lang w:val="en-US" w:eastAsia="zh-CN"/>
        </w:rPr>
        <w:t>2</w:t>
      </w:r>
      <w:r>
        <w:rPr>
          <w:rFonts w:hint="eastAsia" w:asciiTheme="minorEastAsia" w:hAnsiTheme="minorEastAsia" w:eastAsiaTheme="minorEastAsia" w:cstheme="minorEastAsia"/>
          <w:b w:val="0"/>
          <w:bCs w:val="0"/>
          <w:spacing w:val="-4"/>
          <w:sz w:val="28"/>
          <w:szCs w:val="28"/>
          <w:lang w:eastAsia="zh-CN"/>
        </w:rPr>
        <w:t>）</w:t>
      </w:r>
      <w:r>
        <w:rPr>
          <w:rFonts w:hint="eastAsia" w:asciiTheme="minorEastAsia" w:hAnsiTheme="minorEastAsia" w:eastAsiaTheme="minorEastAsia" w:cstheme="minorEastAsia"/>
          <w:b w:val="0"/>
          <w:bCs w:val="0"/>
          <w:spacing w:val="-4"/>
          <w:sz w:val="28"/>
          <w:szCs w:val="28"/>
        </w:rPr>
        <w:t>控制电缆的要求</w:t>
      </w:r>
    </w:p>
    <w:p w14:paraId="7CA4C0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①控制电缆应采用铜芯电缆；</w:t>
      </w:r>
    </w:p>
    <w:p w14:paraId="156DFA4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4"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②不同电压等级的信号、控制回路不应合用一根电缆;</w:t>
      </w:r>
    </w:p>
    <w:p w14:paraId="4B29C5D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③弱电回路每一对往返导线，应属于同一根电缆；</w:t>
      </w:r>
    </w:p>
    <w:p w14:paraId="521349B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④开关量信号宜选用总屏蔽电缆；</w:t>
      </w:r>
    </w:p>
    <w:p w14:paraId="32BBA3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⑤模拟量信号宜选用对绞线芯分屏蔽复合总屏蔽电缆；</w:t>
      </w:r>
    </w:p>
    <w:p w14:paraId="6064CAD0">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⑥强电控制回路导体载面积不应小于</w:t>
      </w:r>
      <w:r>
        <w:rPr>
          <w:rFonts w:hint="eastAsia" w:asciiTheme="minorEastAsia" w:hAnsiTheme="minorEastAsia" w:eastAsiaTheme="minorEastAsia" w:cstheme="minorEastAsia"/>
          <w:spacing w:val="-14"/>
          <w:sz w:val="28"/>
          <w:szCs w:val="28"/>
        </w:rPr>
        <w:t xml:space="preserve"> </w:t>
      </w:r>
      <w:r>
        <w:rPr>
          <w:rFonts w:hint="eastAsia" w:asciiTheme="minorEastAsia" w:hAnsiTheme="minorEastAsia" w:eastAsiaTheme="minorEastAsia" w:cstheme="minorEastAsia"/>
          <w:spacing w:val="-1"/>
          <w:sz w:val="28"/>
          <w:szCs w:val="28"/>
        </w:rPr>
        <w:t>1.5mm²,弱电控制回路导体载面积不应</w:t>
      </w:r>
      <w:r>
        <w:rPr>
          <w:rFonts w:hint="eastAsia" w:asciiTheme="minorEastAsia" w:hAnsiTheme="minorEastAsia" w:eastAsiaTheme="minorEastAsia" w:cstheme="minorEastAsia"/>
          <w:spacing w:val="-5"/>
          <w:sz w:val="28"/>
          <w:szCs w:val="28"/>
        </w:rPr>
        <w:t>小于</w:t>
      </w:r>
      <w:r>
        <w:rPr>
          <w:rFonts w:hint="eastAsia" w:asciiTheme="minorEastAsia" w:hAnsiTheme="minorEastAsia" w:eastAsiaTheme="minorEastAsia" w:cstheme="minorEastAsia"/>
          <w:spacing w:val="-32"/>
          <w:sz w:val="28"/>
          <w:szCs w:val="28"/>
        </w:rPr>
        <w:t xml:space="preserve"> </w:t>
      </w:r>
      <w:r>
        <w:rPr>
          <w:rFonts w:hint="eastAsia" w:asciiTheme="minorEastAsia" w:hAnsiTheme="minorEastAsia" w:eastAsiaTheme="minorEastAsia" w:cstheme="minorEastAsia"/>
          <w:spacing w:val="-5"/>
          <w:sz w:val="28"/>
          <w:szCs w:val="28"/>
        </w:rPr>
        <w:t>1.0mm²；</w:t>
      </w:r>
    </w:p>
    <w:p w14:paraId="4848E3A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4"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⑦控制及信号电缆宜选用450/750V</w:t>
      </w:r>
      <w:r>
        <w:rPr>
          <w:rFonts w:hint="eastAsia" w:asciiTheme="minorEastAsia" w:hAnsiTheme="minorEastAsia" w:eastAsiaTheme="minorEastAsia" w:cstheme="minorEastAsia"/>
          <w:spacing w:val="-37"/>
          <w:sz w:val="28"/>
          <w:szCs w:val="28"/>
        </w:rPr>
        <w:t xml:space="preserve"> </w:t>
      </w:r>
      <w:r>
        <w:rPr>
          <w:rFonts w:hint="eastAsia" w:asciiTheme="minorEastAsia" w:hAnsiTheme="minorEastAsia" w:eastAsiaTheme="minorEastAsia" w:cstheme="minorEastAsia"/>
          <w:spacing w:val="1"/>
          <w:sz w:val="28"/>
          <w:szCs w:val="28"/>
        </w:rPr>
        <w:t>额定电压等级电缆；</w:t>
      </w:r>
    </w:p>
    <w:p w14:paraId="5EC77C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⑧控制、信号电缆中间不得有接头。</w:t>
      </w:r>
    </w:p>
    <w:p w14:paraId="7E0DE23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4" w:firstLineChars="200"/>
        <w:textAlignment w:val="baseline"/>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pacing w:val="-4"/>
          <w:sz w:val="28"/>
          <w:szCs w:val="28"/>
          <w:lang w:eastAsia="zh-CN"/>
        </w:rPr>
        <w:t>（</w:t>
      </w:r>
      <w:r>
        <w:rPr>
          <w:rFonts w:hint="eastAsia" w:asciiTheme="minorEastAsia" w:hAnsiTheme="minorEastAsia" w:eastAsiaTheme="minorEastAsia" w:cstheme="minorEastAsia"/>
          <w:b w:val="0"/>
          <w:bCs w:val="0"/>
          <w:spacing w:val="-4"/>
          <w:sz w:val="28"/>
          <w:szCs w:val="28"/>
          <w:lang w:val="en-US" w:eastAsia="zh-CN"/>
        </w:rPr>
        <w:t>3</w:t>
      </w:r>
      <w:r>
        <w:rPr>
          <w:rFonts w:hint="eastAsia" w:asciiTheme="minorEastAsia" w:hAnsiTheme="minorEastAsia" w:eastAsiaTheme="minorEastAsia" w:cstheme="minorEastAsia"/>
          <w:b w:val="0"/>
          <w:bCs w:val="0"/>
          <w:spacing w:val="-4"/>
          <w:sz w:val="28"/>
          <w:szCs w:val="28"/>
          <w:lang w:eastAsia="zh-CN"/>
        </w:rPr>
        <w:t>）</w:t>
      </w:r>
      <w:r>
        <w:rPr>
          <w:rFonts w:hint="eastAsia" w:asciiTheme="minorEastAsia" w:hAnsiTheme="minorEastAsia" w:eastAsiaTheme="minorEastAsia" w:cstheme="minorEastAsia"/>
          <w:b w:val="0"/>
          <w:bCs w:val="0"/>
          <w:spacing w:val="-4"/>
          <w:sz w:val="28"/>
          <w:szCs w:val="28"/>
        </w:rPr>
        <w:t>电缆敷设的要求</w:t>
      </w:r>
    </w:p>
    <w:p w14:paraId="6D8EE44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①满足安全要求条件下，应保证电缆路径最短；</w:t>
      </w:r>
    </w:p>
    <w:p w14:paraId="708FA71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②应便于敷设、维护；</w:t>
      </w:r>
    </w:p>
    <w:p w14:paraId="08466C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③应避免电缆遭受机械性外力、过热、腐蚀等危害；</w:t>
      </w:r>
    </w:p>
    <w:p w14:paraId="5A777C3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④电缆的允许弯曲半径，应满足相关规范的要求；</w:t>
      </w:r>
    </w:p>
    <w:p w14:paraId="5DF71C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⑤动力电缆及控制、信号电缆应采用封闭式电</w:t>
      </w:r>
      <w:r>
        <w:rPr>
          <w:rFonts w:hint="eastAsia" w:asciiTheme="minorEastAsia" w:hAnsiTheme="minorEastAsia" w:eastAsiaTheme="minorEastAsia" w:cstheme="minorEastAsia"/>
          <w:spacing w:val="-1"/>
          <w:sz w:val="28"/>
          <w:szCs w:val="28"/>
        </w:rPr>
        <w:t>缆桥架或穿管敷设；</w:t>
      </w:r>
    </w:p>
    <w:p w14:paraId="0E9CE13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2"/>
          <w:sz w:val="28"/>
          <w:szCs w:val="28"/>
        </w:rPr>
        <w:t>⑥穿管敷设时，管的内径不宜小于电缆外径的</w:t>
      </w:r>
      <w:r>
        <w:rPr>
          <w:rFonts w:hint="eastAsia" w:asciiTheme="minorEastAsia" w:hAnsiTheme="minorEastAsia" w:eastAsiaTheme="minorEastAsia" w:cstheme="minorEastAsia"/>
          <w:spacing w:val="-28"/>
          <w:sz w:val="28"/>
          <w:szCs w:val="28"/>
        </w:rPr>
        <w:t xml:space="preserve"> </w:t>
      </w:r>
      <w:r>
        <w:rPr>
          <w:rFonts w:hint="eastAsia" w:asciiTheme="minorEastAsia" w:hAnsiTheme="minorEastAsia" w:eastAsiaTheme="minorEastAsia" w:cstheme="minorEastAsia"/>
          <w:spacing w:val="-2"/>
          <w:sz w:val="28"/>
          <w:szCs w:val="28"/>
        </w:rPr>
        <w:t>1.5</w:t>
      </w:r>
      <w:r>
        <w:rPr>
          <w:rFonts w:hint="eastAsia" w:asciiTheme="minorEastAsia" w:hAnsiTheme="minorEastAsia" w:eastAsiaTheme="minorEastAsia" w:cstheme="minorEastAsia"/>
          <w:spacing w:val="-51"/>
          <w:sz w:val="28"/>
          <w:szCs w:val="28"/>
        </w:rPr>
        <w:t xml:space="preserve"> </w:t>
      </w:r>
      <w:r>
        <w:rPr>
          <w:rFonts w:hint="eastAsia" w:asciiTheme="minorEastAsia" w:hAnsiTheme="minorEastAsia" w:eastAsiaTheme="minorEastAsia" w:cstheme="minorEastAsia"/>
          <w:spacing w:val="-2"/>
          <w:sz w:val="28"/>
          <w:szCs w:val="28"/>
        </w:rPr>
        <w:t>倍；</w:t>
      </w:r>
    </w:p>
    <w:p w14:paraId="6485B0E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⑦电缆的敷设不得影响设备和管道维护。</w:t>
      </w:r>
    </w:p>
    <w:p w14:paraId="148079F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sz w:val="28"/>
          <w:szCs w:val="28"/>
        </w:rPr>
        <w:t>⑧电力电缆与非电力电缆应分开布置，其间</w:t>
      </w:r>
      <w:r>
        <w:rPr>
          <w:rFonts w:hint="eastAsia" w:asciiTheme="minorEastAsia" w:hAnsiTheme="minorEastAsia" w:eastAsiaTheme="minorEastAsia" w:cstheme="minorEastAsia"/>
          <w:spacing w:val="-1"/>
          <w:sz w:val="28"/>
          <w:szCs w:val="28"/>
        </w:rPr>
        <w:t>距应满足规范要求。</w:t>
      </w:r>
      <w:r>
        <w:rPr>
          <w:rFonts w:hint="eastAsia" w:asciiTheme="minorEastAsia" w:hAnsiTheme="minorEastAsia" w:eastAsiaTheme="minorEastAsia" w:cstheme="minorEastAsia"/>
          <w:b w:val="0"/>
          <w:bCs w:val="0"/>
          <w:spacing w:val="-2"/>
          <w:sz w:val="28"/>
          <w:szCs w:val="28"/>
          <w:lang w:val="en-US" w:eastAsia="zh-CN"/>
        </w:rPr>
        <w:t>电气间隙与爬电距离：设备中带电电路之间以及带电零部件或接地零部件的电气间隙和爬地距离应符合 GB/T 3797 最新标准的规定。</w:t>
      </w:r>
    </w:p>
    <w:p w14:paraId="68E878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4、绝缘电组与介电强度：设备中带电回路之间及带电回路和地之间的绝缘电阻应符合 GB/T 3797 最新标准的规定；介电强度应符合 GB/T 3797 最新标准的规定。</w:t>
      </w:r>
    </w:p>
    <w:p w14:paraId="6B7971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5、安全接地及防雷：设备的金属构体上应设置接地点，与接地点相连接的保护导线的截面，应与设备导体截面积相同，按 30*4mm 接地铜排以上配置。与接地点连接的导线必须是黄、绿双色线。不能明显标明的接地点，应在附近标注明显的接地符号。主接地点与设备任何有关的、因绝缘损坏可能带电的金属之间的电阻不应超过0.1Ω ,连接接地线的螺钉和接线点不得作其他机械紧固用。控制柜应有可靠的防雷措施。</w:t>
      </w:r>
    </w:p>
    <w:p w14:paraId="2AB1E6E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6、变频控制柜在 5.9m/s(0.6G)震动下可正常工作。抗电磁干扰性能符合IEC255-22 标准规定。</w:t>
      </w:r>
    </w:p>
    <w:p w14:paraId="7806C99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7、变频控制柜的内部结构布置必须严格按系统图、国家标准及地方规范执行；内部接线应排列整齐、清晰和美观，绑扎成束或敷于专用塑料槽内卡在安装架上；配线应考虑足够的余量。</w:t>
      </w:r>
    </w:p>
    <w:p w14:paraId="66893C6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8、变频控制柜门内侧必须贴有电气原理图，采用塑封防水密封。</w:t>
      </w:r>
    </w:p>
    <w:p w14:paraId="249759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bCs w:val="0"/>
          <w:spacing w:val="-2"/>
          <w:sz w:val="28"/>
          <w:szCs w:val="28"/>
          <w:lang w:val="en-US" w:eastAsia="zh-CN"/>
        </w:rPr>
        <w:t>9、中性线母排和接地母排的电流容量必须经过计算且足够大；箱内电器元件的上方标志该元件的文字符号，各电路的导线端头应标志相应的文字符号。所有的文字符号应与提供的线路图、系统图上的文字符号一致。所使用的图形和符号应符合相应的国家标准。</w:t>
      </w:r>
    </w:p>
    <w:p w14:paraId="2678118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4" w:firstLineChars="200"/>
        <w:textAlignment w:val="baseline"/>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pacing w:val="-4"/>
          <w:sz w:val="28"/>
          <w:szCs w:val="28"/>
          <w:lang w:val="en-US" w:eastAsia="zh-CN"/>
        </w:rPr>
        <w:t>10、</w:t>
      </w:r>
      <w:r>
        <w:rPr>
          <w:rFonts w:hint="eastAsia" w:asciiTheme="minorEastAsia" w:hAnsiTheme="minorEastAsia" w:eastAsiaTheme="minorEastAsia" w:cstheme="minorEastAsia"/>
          <w:b w:val="0"/>
          <w:bCs w:val="0"/>
          <w:spacing w:val="-4"/>
          <w:sz w:val="28"/>
          <w:szCs w:val="28"/>
        </w:rPr>
        <w:t>系统运行模式</w:t>
      </w:r>
    </w:p>
    <w:p w14:paraId="28B0FE7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8" w:firstLineChars="200"/>
        <w:textAlignment w:val="baseline"/>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pacing w:val="-3"/>
          <w:sz w:val="28"/>
          <w:szCs w:val="28"/>
          <w:lang w:val="en-US" w:eastAsia="zh-CN"/>
        </w:rPr>
        <w:t>1、</w:t>
      </w:r>
      <w:r>
        <w:rPr>
          <w:rFonts w:hint="eastAsia" w:asciiTheme="minorEastAsia" w:hAnsiTheme="minorEastAsia" w:eastAsiaTheme="minorEastAsia" w:cstheme="minorEastAsia"/>
          <w:spacing w:val="-3"/>
          <w:sz w:val="28"/>
          <w:szCs w:val="28"/>
        </w:rPr>
        <w:t>二次供水成套设备应具有手动、</w:t>
      </w:r>
      <w:r>
        <w:rPr>
          <w:rFonts w:hint="eastAsia" w:asciiTheme="minorEastAsia" w:hAnsiTheme="minorEastAsia" w:eastAsiaTheme="minorEastAsia" w:cstheme="minorEastAsia"/>
          <w:spacing w:val="-69"/>
          <w:sz w:val="28"/>
          <w:szCs w:val="28"/>
        </w:rPr>
        <w:t xml:space="preserve"> </w:t>
      </w:r>
      <w:r>
        <w:rPr>
          <w:rFonts w:hint="eastAsia" w:asciiTheme="minorEastAsia" w:hAnsiTheme="minorEastAsia" w:eastAsiaTheme="minorEastAsia" w:cstheme="minorEastAsia"/>
          <w:spacing w:val="-3"/>
          <w:sz w:val="28"/>
          <w:szCs w:val="28"/>
        </w:rPr>
        <w:t>自动和远程控制功能，手动</w:t>
      </w:r>
      <w:r>
        <w:rPr>
          <w:rFonts w:hint="eastAsia" w:asciiTheme="minorEastAsia" w:hAnsiTheme="minorEastAsia" w:eastAsiaTheme="minorEastAsia" w:cstheme="minorEastAsia"/>
          <w:spacing w:val="-4"/>
          <w:sz w:val="28"/>
          <w:szCs w:val="28"/>
        </w:rPr>
        <w:t>、</w:t>
      </w:r>
      <w:r>
        <w:rPr>
          <w:rFonts w:hint="eastAsia" w:asciiTheme="minorEastAsia" w:hAnsiTheme="minorEastAsia" w:eastAsiaTheme="minorEastAsia" w:cstheme="minorEastAsia"/>
          <w:spacing w:val="-71"/>
          <w:sz w:val="28"/>
          <w:szCs w:val="28"/>
        </w:rPr>
        <w:t xml:space="preserve"> </w:t>
      </w:r>
      <w:r>
        <w:rPr>
          <w:rFonts w:hint="eastAsia" w:asciiTheme="minorEastAsia" w:hAnsiTheme="minorEastAsia" w:eastAsiaTheme="minorEastAsia" w:cstheme="minorEastAsia"/>
          <w:spacing w:val="-4"/>
          <w:sz w:val="28"/>
          <w:szCs w:val="28"/>
        </w:rPr>
        <w:t>自动可</w:t>
      </w:r>
      <w:r>
        <w:rPr>
          <w:rFonts w:hint="eastAsia" w:asciiTheme="minorEastAsia" w:hAnsiTheme="minorEastAsia" w:eastAsiaTheme="minorEastAsia" w:cstheme="minorEastAsia"/>
          <w:spacing w:val="-3"/>
          <w:sz w:val="28"/>
          <w:szCs w:val="28"/>
        </w:rPr>
        <w:t>以通过控制柜上安装的转换开关进行选择。</w:t>
      </w:r>
      <w:r>
        <w:rPr>
          <w:rFonts w:hint="eastAsia" w:asciiTheme="minorEastAsia" w:hAnsiTheme="minorEastAsia" w:eastAsiaTheme="minorEastAsia" w:cstheme="minorEastAsia"/>
          <w:spacing w:val="-60"/>
          <w:sz w:val="28"/>
          <w:szCs w:val="28"/>
        </w:rPr>
        <w:t xml:space="preserve"> </w:t>
      </w:r>
      <w:r>
        <w:rPr>
          <w:rFonts w:hint="eastAsia" w:asciiTheme="minorEastAsia" w:hAnsiTheme="minorEastAsia" w:eastAsiaTheme="minorEastAsia" w:cstheme="minorEastAsia"/>
          <w:spacing w:val="-3"/>
          <w:sz w:val="28"/>
          <w:szCs w:val="28"/>
        </w:rPr>
        <w:t>(手动模式，</w:t>
      </w:r>
      <w:r>
        <w:rPr>
          <w:rFonts w:hint="eastAsia" w:asciiTheme="minorEastAsia" w:hAnsiTheme="minorEastAsia" w:eastAsiaTheme="minorEastAsia" w:cstheme="minorEastAsia"/>
          <w:spacing w:val="-71"/>
          <w:sz w:val="28"/>
          <w:szCs w:val="28"/>
        </w:rPr>
        <w:t xml:space="preserve"> </w:t>
      </w:r>
      <w:r>
        <w:rPr>
          <w:rFonts w:hint="eastAsia" w:asciiTheme="minorEastAsia" w:hAnsiTheme="minorEastAsia" w:eastAsiaTheme="minorEastAsia" w:cstheme="minorEastAsia"/>
          <w:spacing w:val="-3"/>
          <w:sz w:val="28"/>
          <w:szCs w:val="28"/>
        </w:rPr>
        <w:t>自动模式，远程模式优先级依次递减)</w:t>
      </w:r>
      <w:r>
        <w:rPr>
          <w:rFonts w:hint="eastAsia" w:asciiTheme="minorEastAsia" w:hAnsiTheme="minorEastAsia" w:eastAsiaTheme="minorEastAsia" w:cstheme="minorEastAsia"/>
          <w:spacing w:val="-3"/>
          <w:sz w:val="28"/>
          <w:szCs w:val="28"/>
          <w:lang w:eastAsia="zh-CN"/>
        </w:rPr>
        <w:t>。</w:t>
      </w:r>
    </w:p>
    <w:p w14:paraId="487782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4"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4"/>
          <w:sz w:val="28"/>
          <w:szCs w:val="28"/>
          <w:lang w:val="en-US" w:eastAsia="zh-CN"/>
        </w:rPr>
        <w:t>2、</w:t>
      </w:r>
      <w:r>
        <w:rPr>
          <w:rFonts w:hint="eastAsia" w:asciiTheme="minorEastAsia" w:hAnsiTheme="minorEastAsia" w:eastAsiaTheme="minorEastAsia" w:cstheme="minorEastAsia"/>
          <w:spacing w:val="-4"/>
          <w:sz w:val="28"/>
          <w:szCs w:val="28"/>
        </w:rPr>
        <w:t>手动模式：由电气柜控制面板按钮启/停机组，满足</w:t>
      </w:r>
      <w:r>
        <w:rPr>
          <w:rFonts w:hint="eastAsia" w:asciiTheme="minorEastAsia" w:hAnsiTheme="minorEastAsia" w:eastAsiaTheme="minorEastAsia" w:cstheme="minorEastAsia"/>
          <w:spacing w:val="-54"/>
          <w:sz w:val="28"/>
          <w:szCs w:val="28"/>
        </w:rPr>
        <w:t xml:space="preserve"> </w:t>
      </w:r>
      <w:r>
        <w:rPr>
          <w:rFonts w:hint="eastAsia" w:asciiTheme="minorEastAsia" w:hAnsiTheme="minorEastAsia" w:eastAsiaTheme="minorEastAsia" w:cstheme="minorEastAsia"/>
          <w:spacing w:val="-4"/>
          <w:sz w:val="28"/>
          <w:szCs w:val="28"/>
        </w:rPr>
        <w:t>PLC</w:t>
      </w:r>
      <w:r>
        <w:rPr>
          <w:rFonts w:hint="eastAsia" w:asciiTheme="minorEastAsia" w:hAnsiTheme="minorEastAsia" w:eastAsiaTheme="minorEastAsia" w:cstheme="minorEastAsia"/>
          <w:spacing w:val="-47"/>
          <w:sz w:val="28"/>
          <w:szCs w:val="28"/>
        </w:rPr>
        <w:t xml:space="preserve"> </w:t>
      </w:r>
      <w:r>
        <w:rPr>
          <w:rFonts w:hint="eastAsia" w:asciiTheme="minorEastAsia" w:hAnsiTheme="minorEastAsia" w:eastAsiaTheme="minorEastAsia" w:cstheme="minorEastAsia"/>
          <w:spacing w:val="-4"/>
          <w:sz w:val="28"/>
          <w:szCs w:val="28"/>
        </w:rPr>
        <w:t>故障时，手动</w:t>
      </w:r>
      <w:r>
        <w:rPr>
          <w:rFonts w:hint="eastAsia" w:asciiTheme="minorEastAsia" w:hAnsiTheme="minorEastAsia" w:eastAsiaTheme="minorEastAsia" w:cstheme="minorEastAsia"/>
          <w:spacing w:val="-1"/>
          <w:sz w:val="28"/>
          <w:szCs w:val="28"/>
        </w:rPr>
        <w:t>变频启动水泵，达到供水压力设定值。</w:t>
      </w:r>
    </w:p>
    <w:p w14:paraId="327C4EE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40"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55"/>
          <w:sz w:val="28"/>
          <w:szCs w:val="28"/>
          <w:lang w:val="en-US" w:eastAsia="zh-CN"/>
        </w:rPr>
        <w:t>3、</w:t>
      </w:r>
      <w:r>
        <w:rPr>
          <w:rFonts w:hint="eastAsia" w:asciiTheme="minorEastAsia" w:hAnsiTheme="minorEastAsia" w:eastAsiaTheme="minorEastAsia" w:cstheme="minorEastAsia"/>
          <w:spacing w:val="-55"/>
          <w:sz w:val="28"/>
          <w:szCs w:val="28"/>
        </w:rPr>
        <w:t xml:space="preserve"> </w:t>
      </w:r>
      <w:r>
        <w:rPr>
          <w:rFonts w:hint="eastAsia" w:asciiTheme="minorEastAsia" w:hAnsiTheme="minorEastAsia" w:eastAsiaTheme="minorEastAsia" w:cstheme="minorEastAsia"/>
          <w:spacing w:val="-2"/>
          <w:sz w:val="28"/>
          <w:szCs w:val="28"/>
        </w:rPr>
        <w:t>自动模式：可将一天分为多个时间段，用户可根据供水量设置不同的</w:t>
      </w:r>
      <w:r>
        <w:rPr>
          <w:rFonts w:hint="eastAsia" w:asciiTheme="minorEastAsia" w:hAnsiTheme="minorEastAsia" w:eastAsiaTheme="minorEastAsia" w:cstheme="minorEastAsia"/>
          <w:spacing w:val="-3"/>
          <w:sz w:val="28"/>
          <w:szCs w:val="28"/>
        </w:rPr>
        <w:t>工作压力，根据压力信号控制供水机组运行频率，自动投入和退</w:t>
      </w:r>
      <w:r>
        <w:rPr>
          <w:rFonts w:hint="eastAsia" w:asciiTheme="minorEastAsia" w:hAnsiTheme="minorEastAsia" w:eastAsiaTheme="minorEastAsia" w:cstheme="minorEastAsia"/>
          <w:spacing w:val="-4"/>
          <w:sz w:val="28"/>
          <w:szCs w:val="28"/>
        </w:rPr>
        <w:t>出机组，发生故</w:t>
      </w:r>
      <w:r>
        <w:rPr>
          <w:rFonts w:hint="eastAsia" w:asciiTheme="minorEastAsia" w:hAnsiTheme="minorEastAsia" w:eastAsiaTheme="minorEastAsia" w:cstheme="minorEastAsia"/>
          <w:spacing w:val="-2"/>
          <w:sz w:val="28"/>
          <w:szCs w:val="28"/>
        </w:rPr>
        <w:t>障自动切换到备用泵。</w:t>
      </w:r>
    </w:p>
    <w:p w14:paraId="2C21678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远程控制：可以在远程监控平台远程控制水泵的启停，启闭泵房进水</w:t>
      </w:r>
      <w:r>
        <w:rPr>
          <w:rFonts w:hint="eastAsia" w:asciiTheme="minorEastAsia" w:hAnsiTheme="minorEastAsia" w:eastAsiaTheme="minorEastAsia" w:cstheme="minorEastAsia"/>
          <w:spacing w:val="-3"/>
          <w:sz w:val="28"/>
          <w:szCs w:val="28"/>
        </w:rPr>
        <w:t>电动控制阀。远程控制状态下具有本地复位功能。远程起停水泵时，能</w:t>
      </w:r>
      <w:r>
        <w:rPr>
          <w:rFonts w:hint="eastAsia" w:asciiTheme="minorEastAsia" w:hAnsiTheme="minorEastAsia" w:eastAsiaTheme="minorEastAsia" w:cstheme="minorEastAsia"/>
          <w:spacing w:val="-4"/>
          <w:sz w:val="28"/>
          <w:szCs w:val="28"/>
        </w:rPr>
        <w:t>保证恒压供水。</w:t>
      </w:r>
    </w:p>
    <w:p w14:paraId="76B5B02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4"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4"/>
          <w:sz w:val="28"/>
          <w:szCs w:val="28"/>
          <w:lang w:val="en-US" w:eastAsia="zh-CN"/>
        </w:rPr>
        <w:t>5、</w:t>
      </w:r>
      <w:r>
        <w:rPr>
          <w:rFonts w:hint="eastAsia" w:asciiTheme="minorEastAsia" w:hAnsiTheme="minorEastAsia" w:eastAsiaTheme="minorEastAsia" w:cstheme="minorEastAsia"/>
          <w:spacing w:val="-4"/>
          <w:sz w:val="28"/>
          <w:szCs w:val="28"/>
        </w:rPr>
        <w:t>强制启动主泵/辅泵：当水泵机组有主泵和辅泵组成，用户可以设定时</w:t>
      </w:r>
      <w:r>
        <w:rPr>
          <w:rFonts w:hint="eastAsia" w:asciiTheme="minorEastAsia" w:hAnsiTheme="minorEastAsia" w:eastAsiaTheme="minorEastAsia" w:cstheme="minorEastAsia"/>
          <w:spacing w:val="-3"/>
          <w:sz w:val="28"/>
          <w:szCs w:val="28"/>
        </w:rPr>
        <w:t>段在用水高峰期强制启动主泵。在夜间小流量供水期间启动辅泵，主</w:t>
      </w:r>
      <w:r>
        <w:rPr>
          <w:rFonts w:hint="eastAsia" w:asciiTheme="minorEastAsia" w:hAnsiTheme="minorEastAsia" w:eastAsiaTheme="minorEastAsia" w:cstheme="minorEastAsia"/>
          <w:spacing w:val="-4"/>
          <w:sz w:val="28"/>
          <w:szCs w:val="28"/>
        </w:rPr>
        <w:t>泵与辅泵切</w:t>
      </w:r>
      <w:r>
        <w:rPr>
          <w:rFonts w:hint="eastAsia" w:asciiTheme="minorEastAsia" w:hAnsiTheme="minorEastAsia" w:eastAsiaTheme="minorEastAsia" w:cstheme="minorEastAsia"/>
          <w:spacing w:val="-1"/>
          <w:sz w:val="28"/>
          <w:szCs w:val="28"/>
        </w:rPr>
        <w:t>换宜采用全变频切换，并有延迟时间，避免切换过程中水压不稳。</w:t>
      </w:r>
    </w:p>
    <w:p w14:paraId="6680AFF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11、控制功能：（1） 自动恒压：根据工程实际情况，可现场设定设备出水压力，采用控制算法根据出水压力与设定压力相比较，自动调节保持出水压力恒定，恒定压力控制精度≤±0.01Mpa 。系统根据供水流量的变化增加或减少水泵台数，在切换过程中保持供水压力平稳。（2） 自动轮换功能：系统可以选择定时轮换与轮换方式，用户可设置轮换时间。系统自动累计各水泵的运行时间，每次均优先启动运行时间最短的水泵。人机界面屏可以显示轮换倒计时。（备用泵也进行轮换）。（3） 自动休眠：当设备在用水低峰期运行，实际用水量很小时，控制系统对检测到的信号进行处理，并迅速调整运行状态，直至设备小流量停机，实现停机零损耗。设备停止运行，通过气压罐维持压力，提高节能效果，保证用水需求，在流量加大时可以自动恢复运行状态。（4）状态显示：通过触摸屏可查看当前供水压力、设定压力及压力波动曲线、频率、水箱液位(仅水箱式)、电动阀的工作状态及开度、流量等运行信息及各台水泵的运行状态（变频、故障、停止）和工作时间。触摸屏可设置液位量程，量程设置应与液位变送器匹配，设置量程精度到厘米，无水停机信号不能使用液位变送器信号。（5）数据记录：自动累计水泵运行时间，显示格式为“从 XXXX 年 XX 月 XX日，水泵累计运行 XX 小时 XX 分钟 XX 秒 ”；（6）故障报警与处理：当水泵机组出现过流、过载、缺相、欠压、变频故障时，设备能自动切转换到保护状态，同时设备自动跳过故障回路或水泵，投入备用回路或水泵，保障用户用水；当泵房设备出现无水报警、超压保护、地面积水、水箱溢流、进水电动阀关闭等故障信息时，控制系统应能发出报警信号。（7）变频故障自动复位：变频器报警后， 自动复位到设定次数，且复位间隔时间递增。如果变频器复位达到设定次数后仍然不成功，则自动停机保护。当变频器故障时先进行自动复位，当复位次数达到设定次数后，变频器断电，切换至其他变频器工作。（8）无水/超压自动复位：无水/超压故障发生后，系统进入停机状态，当故障恢复后系统自动启动。管网叠压设备至少有 2 套独立的缺水（负压）保护机构，当发生缺水（或负压）的状态下应能自动报警及停机保护，当进水恢复正常时，设备恢复正常运行。（9）故障记录与存储：应具有故障报警和报警记忆功能，故障报警应及时准确。 自动记录故障发生/恢复时间，故障类别。并提示用户处理方法，声光报警。（10）巡检功能：系统控制机组/进水电动阀定期自动巡检，巡检时间的长短可以自动调节，此功能可防止水泵/电动阀长期不运行而锈蚀的情况发生。（11）管网爆管失压自动停机功能:当供水设备自动运行时，所有水泵满负荷运行，仍然满足不了供水压力需求，能自动停机并报警；待管理人员现场人为确认报警后，方能再次开机供水。（12）错峰供水功能（针对水箱加变频系统）：当水箱总容积大于 50m3 时需增设错峰供水功能，并按电动调节阀数量设置，依次接入低区至高区控制柜，在触摸屏上可选择启用或不启用错峰供水模式。利用出口流量计记录的数据，进行数据分析，用前一天的数据分析得出的结果，自动设定第二天该小区用水高峰期的时间段。在高峰期到来时关闭进水电动阀，利用水箱的调节容积为用户供水；在高峰期时间内若水箱调节容积不足时再结合水箱的不同液位，控制进口电动调节阀的启闭角度（至下限水位时，电动阀全开；下限水位设定为无水停机水位上 5cm）；低峰期电动阀全开为水箱补水。①本地操作：在触摸屏上可以对电动调节阀进行手动/自动切换。登陆管理员账号后，切换至手动运行时，可手动输入需要的阀门开度。自动运行时则根据程序自动判断运行。②远程操作：在远程监控平台可以对电动调节阀进行手动/自动切换。登陆管理员账号后，可切换至手动运行，手动输入需要的阀门开度。自动运行时则根据程序自动判断运行。</w:t>
      </w:r>
    </w:p>
    <w:p w14:paraId="7BCD9F2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（二）、推荐品牌：</w:t>
      </w:r>
    </w:p>
    <w:p w14:paraId="0052B0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1、可编程控制器推荐：西门子 S7-200  SMART 及以上系列、施耐德 M340 及以上系列、罗克韦尔 Micro850 及以上系列中任一系列控制器及配套的 I/O 模块，2、变频器推荐：西门子、AB、ABB，</w:t>
      </w:r>
    </w:p>
    <w:p w14:paraId="078E23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3、电气元件推荐：施耐德、ABB、西门子。</w:t>
      </w:r>
    </w:p>
    <w:p w14:paraId="479C055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4、仪器仪表及变送器推荐：HUBA、霍尼韦尔、E+h，</w:t>
      </w:r>
    </w:p>
    <w:p w14:paraId="39BEA93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5、错峰供水控制系统推荐：科隆、 E+H、西门子、ABB，</w:t>
      </w:r>
    </w:p>
    <w:p w14:paraId="2623BD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七、PWM型不锈钢大口径超声水表(DN50-600)：口径：DN65；量程比：R1000；基表材质：SS304不锈钢。</w:t>
      </w:r>
    </w:p>
    <w:p w14:paraId="4488031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color w:val="000000" w:themeColor="text1"/>
          <w:spacing w:val="-2"/>
          <w:sz w:val="28"/>
          <w:szCs w:val="28"/>
          <w:highlight w:val="none"/>
          <w:lang w:val="en-US" w:eastAsia="zh-CN"/>
          <w14:textFill>
            <w14:solidFill>
              <w14:schemeClr w14:val="tx1"/>
            </w14:solidFill>
          </w14:textFill>
        </w:rPr>
      </w:pPr>
      <w:r>
        <w:rPr>
          <w:rFonts w:hint="eastAsia" w:asciiTheme="minorEastAsia" w:hAnsiTheme="minorEastAsia" w:eastAsiaTheme="minorEastAsia" w:cstheme="minorEastAsia"/>
          <w:b/>
          <w:bCs/>
          <w:spacing w:val="-2"/>
          <w:sz w:val="28"/>
          <w:szCs w:val="28"/>
          <w:highlight w:val="none"/>
          <w:lang w:val="en-US" w:eastAsia="zh-CN"/>
        </w:rPr>
        <w:t>八、挂式空调</w:t>
      </w:r>
      <w:r>
        <w:rPr>
          <w:rFonts w:hint="eastAsia" w:asciiTheme="minorEastAsia" w:hAnsiTheme="minorEastAsia" w:eastAsiaTheme="minorEastAsia" w:cstheme="minorEastAsia"/>
          <w:b/>
          <w:bCs/>
          <w:color w:val="000000" w:themeColor="text1"/>
          <w:spacing w:val="-2"/>
          <w:sz w:val="28"/>
          <w:szCs w:val="28"/>
          <w:highlight w:val="none"/>
          <w:lang w:val="en-US" w:eastAsia="zh-CN"/>
          <w14:textFill>
            <w14:solidFill>
              <w14:schemeClr w14:val="tx1"/>
            </w14:solidFill>
          </w14:textFill>
        </w:rPr>
        <w:t>（1.5匹、变频、能效等级1级）：推荐品牌（格力、美的、海尔）排名不分先后。</w:t>
      </w:r>
    </w:p>
    <w:p w14:paraId="6BB856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九、泵房装饰：不锈钢防滑底板（厚度1.5mm），黑金钢碳晶集成墙板，铝合金集成顶，全实木地脚线。</w:t>
      </w:r>
    </w:p>
    <w:p w14:paraId="2C2337A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十、不锈钢护栏：主立柱50*50*1.2，中间横单50*25*1.0，尖圆管25*0.8，，高度不低于1.7m。</w:t>
      </w:r>
    </w:p>
    <w:p w14:paraId="6FF45F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8" w:firstLineChars="200"/>
        <w:textAlignment w:val="baseline"/>
        <w:rPr>
          <w:rFonts w:hint="eastAsia" w:asciiTheme="minorEastAsia" w:hAnsiTheme="minorEastAsia" w:eastAsiaTheme="minorEastAsia" w:cstheme="minorEastAsia"/>
          <w:b/>
          <w:bCs/>
          <w:spacing w:val="-1"/>
          <w:sz w:val="28"/>
          <w:szCs w:val="28"/>
          <w:lang w:val="en-US" w:eastAsia="zh-CN"/>
        </w:rPr>
      </w:pPr>
      <w:r>
        <w:rPr>
          <w:rFonts w:hint="eastAsia" w:asciiTheme="minorEastAsia" w:hAnsiTheme="minorEastAsia" w:eastAsiaTheme="minorEastAsia" w:cstheme="minorEastAsia"/>
          <w:b/>
          <w:bCs/>
          <w:spacing w:val="-1"/>
          <w:sz w:val="28"/>
          <w:szCs w:val="28"/>
          <w:lang w:val="en-US" w:eastAsia="zh-CN"/>
        </w:rPr>
        <w:t>十一、电源线：YJV2-3*6+1*4铠装电缆</w:t>
      </w:r>
      <w:r>
        <w:rPr>
          <w:rFonts w:hint="eastAsia" w:asciiTheme="minorEastAsia" w:hAnsiTheme="minorEastAsia" w:eastAsiaTheme="minorEastAsia" w:cstheme="minorEastAsia"/>
          <w:b/>
          <w:bCs/>
          <w:color w:val="000000" w:themeColor="text1"/>
          <w:spacing w:val="-1"/>
          <w:sz w:val="28"/>
          <w:szCs w:val="28"/>
          <w:lang w:val="en-US" w:eastAsia="zh-CN"/>
          <w14:textFill>
            <w14:solidFill>
              <w14:schemeClr w14:val="tx1"/>
            </w14:solidFill>
          </w14:textFill>
        </w:rPr>
        <w:t>（国标过测）。</w:t>
      </w:r>
    </w:p>
    <w:p w14:paraId="4F6842F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8" w:firstLineChars="200"/>
        <w:textAlignment w:val="baseline"/>
        <w:rPr>
          <w:rFonts w:hint="eastAsia" w:asciiTheme="minorEastAsia" w:hAnsiTheme="minorEastAsia" w:eastAsiaTheme="minorEastAsia" w:cstheme="minorEastAsia"/>
          <w:b/>
          <w:bCs/>
          <w:spacing w:val="-1"/>
          <w:sz w:val="28"/>
          <w:szCs w:val="28"/>
          <w:lang w:val="en-US" w:eastAsia="zh-CN"/>
        </w:rPr>
      </w:pPr>
      <w:r>
        <w:rPr>
          <w:rFonts w:hint="eastAsia" w:asciiTheme="minorEastAsia" w:hAnsiTheme="minorEastAsia" w:eastAsiaTheme="minorEastAsia" w:cstheme="minorEastAsia"/>
          <w:b/>
          <w:bCs/>
          <w:spacing w:val="-1"/>
          <w:sz w:val="28"/>
          <w:szCs w:val="28"/>
          <w:lang w:val="en-US" w:eastAsia="zh-CN"/>
        </w:rPr>
        <w:t>十二、管道对接：304不锈钢，DN65（壁厚1.5mm）。</w:t>
      </w:r>
    </w:p>
    <w:p w14:paraId="104928F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8" w:firstLineChars="200"/>
        <w:textAlignment w:val="baseline"/>
        <w:rPr>
          <w:rFonts w:hint="eastAsia" w:asciiTheme="minorEastAsia" w:hAnsiTheme="minorEastAsia" w:eastAsiaTheme="minorEastAsia" w:cstheme="minorEastAsia"/>
          <w:b/>
          <w:bCs/>
          <w:spacing w:val="-1"/>
          <w:sz w:val="28"/>
          <w:szCs w:val="28"/>
          <w:lang w:val="en-US" w:eastAsia="zh-CN"/>
        </w:rPr>
      </w:pPr>
      <w:r>
        <w:rPr>
          <w:rFonts w:hint="eastAsia" w:asciiTheme="minorEastAsia" w:hAnsiTheme="minorEastAsia" w:eastAsiaTheme="minorEastAsia" w:cstheme="minorEastAsia"/>
          <w:b/>
          <w:bCs/>
          <w:spacing w:val="-1"/>
          <w:sz w:val="28"/>
          <w:szCs w:val="28"/>
          <w:lang w:val="en-US" w:eastAsia="zh-CN"/>
        </w:rPr>
        <w:t>十三、线缆桥架：100*50，304不锈钢材质，厚度1.5mm。</w:t>
      </w:r>
    </w:p>
    <w:p w14:paraId="6D836B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8" w:firstLineChars="200"/>
        <w:textAlignment w:val="baseline"/>
        <w:rPr>
          <w:rFonts w:hint="eastAsia" w:asciiTheme="minorEastAsia" w:hAnsiTheme="minorEastAsia" w:eastAsiaTheme="minorEastAsia" w:cstheme="minorEastAsia"/>
          <w:b/>
          <w:bCs/>
          <w:spacing w:val="-1"/>
          <w:sz w:val="28"/>
          <w:szCs w:val="28"/>
          <w:lang w:val="en-US" w:eastAsia="zh-CN"/>
        </w:rPr>
      </w:pPr>
      <w:r>
        <w:rPr>
          <w:rFonts w:hint="eastAsia" w:asciiTheme="minorEastAsia" w:hAnsiTheme="minorEastAsia" w:eastAsiaTheme="minorEastAsia" w:cstheme="minorEastAsia"/>
          <w:b/>
          <w:bCs/>
          <w:spacing w:val="-1"/>
          <w:sz w:val="28"/>
          <w:szCs w:val="28"/>
          <w:lang w:val="en-US" w:eastAsia="zh-CN"/>
        </w:rPr>
        <w:t>十四、监控视频（枪机（摄像机）最高分辨率可达2560*1440）</w:t>
      </w:r>
    </w:p>
    <w:p w14:paraId="0E7B1519">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Theme="minorEastAsia" w:hAnsiTheme="minorEastAsia" w:eastAsiaTheme="minorEastAsia" w:cstheme="minorEastAsia"/>
          <w:snapToGrid w:val="0"/>
          <w:color w:val="000000"/>
          <w:kern w:val="0"/>
          <w:sz w:val="28"/>
          <w:szCs w:val="28"/>
          <w:lang w:val="en-US" w:eastAsia="zh-CN" w:bidi="ar-SA"/>
        </w:rPr>
      </w:pPr>
      <w:r>
        <w:rPr>
          <w:rFonts w:hint="eastAsia" w:asciiTheme="minorEastAsia" w:hAnsiTheme="minorEastAsia" w:eastAsiaTheme="minorEastAsia" w:cstheme="minorEastAsia"/>
          <w:snapToGrid w:val="0"/>
          <w:color w:val="000000"/>
          <w:kern w:val="0"/>
          <w:sz w:val="28"/>
          <w:szCs w:val="28"/>
          <w:lang w:val="en-US" w:eastAsia="zh-CN" w:bidi="ar-SA"/>
        </w:rPr>
        <w:t xml:space="preserve"> </w:t>
      </w:r>
      <w:r>
        <w:rPr>
          <w:rFonts w:hint="eastAsia" w:asciiTheme="minorEastAsia" w:hAnsiTheme="minorEastAsia" w:eastAsiaTheme="minorEastAsia" w:cstheme="minorEastAsia"/>
          <w:b/>
          <w:bCs/>
          <w:snapToGrid w:val="0"/>
          <w:color w:val="000000"/>
          <w:kern w:val="0"/>
          <w:sz w:val="28"/>
          <w:szCs w:val="28"/>
          <w:lang w:val="en-US" w:eastAsia="zh-CN" w:bidi="ar-SA"/>
        </w:rPr>
        <w:t>（一）、技术标准要求：</w:t>
      </w:r>
      <w:r>
        <w:rPr>
          <w:rFonts w:hint="eastAsia" w:asciiTheme="minorEastAsia" w:hAnsiTheme="minorEastAsia" w:eastAsiaTheme="minorEastAsia" w:cstheme="minorEastAsia"/>
          <w:snapToGrid w:val="0"/>
          <w:color w:val="000000"/>
          <w:kern w:val="0"/>
          <w:sz w:val="28"/>
          <w:szCs w:val="28"/>
          <w:lang w:val="en-US" w:eastAsia="zh-CN" w:bidi="ar-SA"/>
        </w:rPr>
        <w:t>硬盘录像机：可接驳符合 ONVIF、PSIA、RTSP 标准及众多主流厂商的网络摄像机；支持国标28181 协议、Ehome 协议接入平台；支持4K高清网络视频的预览、存储与回放； 4T监控硬盘。</w:t>
      </w:r>
    </w:p>
    <w:p w14:paraId="39FB31CC">
      <w:pPr>
        <w:keepNext w:val="0"/>
        <w:keepLines w:val="0"/>
        <w:pageBreakBefore w:val="0"/>
        <w:widowControl/>
        <w:kinsoku w:val="0"/>
        <w:wordWrap/>
        <w:overflowPunct/>
        <w:topLinePunct w:val="0"/>
        <w:autoSpaceDE w:val="0"/>
        <w:autoSpaceDN w:val="0"/>
        <w:bidi w:val="0"/>
        <w:adjustRightInd w:val="0"/>
        <w:snapToGrid w:val="0"/>
        <w:spacing w:line="360" w:lineRule="auto"/>
        <w:ind w:firstLine="562" w:firstLineChars="200"/>
        <w:textAlignment w:val="baseline"/>
        <w:rPr>
          <w:rFonts w:hint="eastAsia" w:asciiTheme="minorEastAsia" w:hAnsiTheme="minorEastAsia" w:eastAsiaTheme="minorEastAsia" w:cstheme="minorEastAsia"/>
          <w:snapToGrid w:val="0"/>
          <w:color w:val="000000"/>
          <w:kern w:val="0"/>
          <w:sz w:val="28"/>
          <w:szCs w:val="28"/>
          <w:lang w:val="en-US" w:eastAsia="zh-CN" w:bidi="ar-SA"/>
        </w:rPr>
      </w:pPr>
      <w:r>
        <w:rPr>
          <w:rFonts w:hint="eastAsia" w:asciiTheme="minorEastAsia" w:hAnsiTheme="minorEastAsia" w:eastAsiaTheme="minorEastAsia" w:cstheme="minorEastAsia"/>
          <w:b/>
          <w:bCs/>
          <w:snapToGrid w:val="0"/>
          <w:color w:val="000000"/>
          <w:kern w:val="0"/>
          <w:sz w:val="28"/>
          <w:szCs w:val="28"/>
          <w:lang w:val="en-US" w:eastAsia="zh-CN" w:bidi="ar-SA"/>
        </w:rPr>
        <w:t>（二）、推荐品牌：</w:t>
      </w:r>
      <w:r>
        <w:rPr>
          <w:rFonts w:hint="eastAsia" w:asciiTheme="minorEastAsia" w:hAnsiTheme="minorEastAsia" w:eastAsiaTheme="minorEastAsia" w:cstheme="minorEastAsia"/>
          <w:snapToGrid w:val="0"/>
          <w:color w:val="000000"/>
          <w:kern w:val="0"/>
          <w:sz w:val="28"/>
          <w:szCs w:val="28"/>
          <w:lang w:val="en-US" w:eastAsia="zh-CN" w:bidi="ar-SA"/>
        </w:rPr>
        <w:t>海康威视、大华股份、宇视科技（排名不分先后）</w:t>
      </w:r>
    </w:p>
    <w:p w14:paraId="6B94E5B6">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Theme="minorEastAsia" w:hAnsiTheme="minorEastAsia" w:eastAsiaTheme="minorEastAsia" w:cstheme="minorEastAsia"/>
          <w:sz w:val="28"/>
          <w:szCs w:val="28"/>
          <w:lang w:val="en-US" w:eastAsia="en-US"/>
        </w:rPr>
      </w:pPr>
    </w:p>
    <w:p w14:paraId="0A583FB0">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Theme="minorEastAsia" w:hAnsiTheme="minorEastAsia" w:eastAsiaTheme="minorEastAsia" w:cstheme="minorEastAsia"/>
          <w:snapToGrid w:val="0"/>
          <w:color w:val="000000"/>
          <w:kern w:val="0"/>
          <w:sz w:val="28"/>
          <w:szCs w:val="28"/>
          <w:lang w:val="en-US" w:eastAsia="zh-CN" w:bidi="ar-SA"/>
        </w:rPr>
      </w:pPr>
    </w:p>
    <w:sectPr>
      <w:headerReference r:id="rId5" w:type="default"/>
      <w:footerReference r:id="rId6" w:type="default"/>
      <w:pgSz w:w="11906" w:h="16839"/>
      <w:pgMar w:top="1446" w:right="1446" w:bottom="1083" w:left="1502" w:header="829" w:footer="8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1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5A07A">
    <w:pPr>
      <w:spacing w:line="179" w:lineRule="auto"/>
      <w:ind w:left="3861"/>
      <w:rPr>
        <w:rFonts w:ascii="Times New Roman" w:hAnsi="Times New Roman" w:eastAsia="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EFEC6">
    <w:pPr>
      <w:pStyle w:val="2"/>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0D541"/>
    <w:multiLevelType w:val="singleLevel"/>
    <w:tmpl w:val="9140D541"/>
    <w:lvl w:ilvl="0" w:tentative="0">
      <w:start w:val="3"/>
      <w:numFmt w:val="chineseCounting"/>
      <w:suff w:val="nothing"/>
      <w:lvlText w:val="（%1）"/>
      <w:lvlJc w:val="left"/>
      <w:rPr>
        <w:rFonts w:hint="eastAsia"/>
      </w:rPr>
    </w:lvl>
  </w:abstractNum>
  <w:abstractNum w:abstractNumId="1">
    <w:nsid w:val="C1CEE112"/>
    <w:multiLevelType w:val="singleLevel"/>
    <w:tmpl w:val="C1CEE112"/>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3302FAE"/>
    <w:rsid w:val="035205D8"/>
    <w:rsid w:val="39AE6908"/>
    <w:rsid w:val="3E6B7D9B"/>
    <w:rsid w:val="459976C9"/>
    <w:rsid w:val="4FC761D8"/>
    <w:rsid w:val="54AA0578"/>
    <w:rsid w:val="622C2413"/>
    <w:rsid w:val="65E90432"/>
    <w:rsid w:val="7C3A67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5244</Words>
  <Characters>5912</Characters>
  <TotalTime>1</TotalTime>
  <ScaleCrop>false</ScaleCrop>
  <LinksUpToDate>false</LinksUpToDate>
  <CharactersWithSpaces>6016</CharactersWithSpaces>
  <Application>WPS Office_12.1.0.21541_F1E327BC-269C-435d-A152-05C5408002CA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2023-09-01T18:43:00Z</dcterms:created>
  <dc:creator>User</dc:creator>
  <cp:lastModifiedBy>吴功道</cp:lastModifiedBy>
  <cp:lastPrinted>2026-09-07T03:39:00Z</cp:lastPrinted>
  <dcterms:modified xsi:type="dcterms:W3CDTF">2026-09-11T09:16:52Z</dcterms:modified>
  <dc:title>第二章  投标人须知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2026-09-01T15:55:52Z</vt:filetime>
  </property>
  <property fmtid="{D5CDD505-2E9C-101B-9397-08002B2CF9AE}" pid="4" name="KSOTemplateDocerSaveRecord">
    <vt:lpwstr>eyJoZGlkIjoiZGQ3ZDQ5MWUyMzVhZDkzZTA1ZTU4M2Y2ODc2ZTEyMDYiLCJ1c2VySWQiOiIxNDM1Njc3MTI0In0=</vt:lpwstr>
  </property>
  <property fmtid="{D5CDD505-2E9C-101B-9397-08002B2CF9AE}" pid="5" name="KSOProductBuildVer">
    <vt:lpwstr>2052-12.1.0.21541</vt:lpwstr>
  </property>
  <property fmtid="{D5CDD505-2E9C-101B-9397-08002B2CF9AE}" pid="6" name="ICV">
    <vt:lpwstr>1461E68BA29442EBA35E013DEA9AB02D_13</vt:lpwstr>
  </property>
</Properties>
</file>