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05C51">
      <w:pPr>
        <w:tabs>
          <w:tab w:val="left" w:pos="5040"/>
        </w:tabs>
        <w:wordWrap w:val="0"/>
        <w:snapToGrid w:val="0"/>
        <w:spacing w:line="312" w:lineRule="auto"/>
        <w:jc w:val="right"/>
        <w:rPr>
          <w:rFonts w:hint="eastAsia" w:ascii="方正仿宋_GB2312" w:hAnsi="方正仿宋_GB2312" w:eastAsia="方正仿宋_GB2312" w:cs="方正仿宋_GB2312"/>
          <w:sz w:val="32"/>
          <w:szCs w:val="32"/>
          <w:highlight w:val="none"/>
          <w:u w:val="single"/>
          <w:lang w:val="en-US" w:eastAsia="zh-CN"/>
        </w:rPr>
      </w:pPr>
      <w:r>
        <w:rPr>
          <w:rFonts w:hint="eastAsia" w:ascii="方正仿宋_GB2312" w:hAnsi="方正仿宋_GB2312" w:eastAsia="方正仿宋_GB2312" w:cs="方正仿宋_GB2312"/>
          <w:sz w:val="32"/>
          <w:szCs w:val="32"/>
          <w:highlight w:val="none"/>
        </w:rPr>
        <w:t>合同编号：</w:t>
      </w:r>
      <w:r>
        <w:rPr>
          <w:rFonts w:hint="eastAsia" w:ascii="方正仿宋_GB2312" w:hAnsi="方正仿宋_GB2312" w:eastAsia="方正仿宋_GB2312" w:cs="方正仿宋_GB2312"/>
          <w:sz w:val="32"/>
          <w:szCs w:val="32"/>
          <w:highlight w:val="none"/>
          <w:lang w:val="en-US" w:eastAsia="zh-CN"/>
        </w:rPr>
        <w:t>RYJTZH2026091401</w:t>
      </w:r>
    </w:p>
    <w:p w14:paraId="25866DD6">
      <w:pPr>
        <w:snapToGrid w:val="0"/>
        <w:spacing w:line="312" w:lineRule="auto"/>
        <w:rPr>
          <w:rFonts w:ascii="宋体" w:hAnsi="宋体" w:cs="楷体"/>
          <w:sz w:val="32"/>
          <w:szCs w:val="32"/>
          <w:highlight w:val="none"/>
        </w:rPr>
      </w:pPr>
    </w:p>
    <w:p w14:paraId="47A7980B">
      <w:pPr>
        <w:snapToGrid w:val="0"/>
        <w:spacing w:line="312" w:lineRule="auto"/>
        <w:rPr>
          <w:rFonts w:ascii="宋体" w:hAnsi="宋体" w:cs="楷体"/>
          <w:sz w:val="32"/>
          <w:szCs w:val="32"/>
          <w:highlight w:val="none"/>
        </w:rPr>
      </w:pPr>
    </w:p>
    <w:p w14:paraId="1471F102">
      <w:pPr>
        <w:snapToGrid w:val="0"/>
        <w:spacing w:line="312" w:lineRule="auto"/>
        <w:rPr>
          <w:rFonts w:hint="eastAsia" w:ascii="宋体" w:hAnsi="宋体" w:cs="楷体" w:eastAsiaTheme="minorEastAsia"/>
          <w:sz w:val="32"/>
          <w:szCs w:val="32"/>
          <w:highlight w:val="none"/>
          <w:lang w:eastAsia="zh-CN"/>
        </w:rPr>
      </w:pPr>
    </w:p>
    <w:p w14:paraId="7DB54884">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680" w:lineRule="exact"/>
        <w:ind w:left="0" w:firstLine="0"/>
        <w:jc w:val="center"/>
        <w:textAlignment w:val="auto"/>
        <w:rPr>
          <w:rFonts w:hint="eastAsia" w:ascii="方正小标宋简体" w:hAnsi="方正小标宋简体" w:eastAsia="方正小标宋简体" w:cs="方正小标宋简体"/>
          <w:b/>
          <w:bCs/>
          <w:kern w:val="2"/>
          <w:sz w:val="44"/>
          <w:szCs w:val="44"/>
          <w:highlight w:val="none"/>
          <w:lang w:val="en-US" w:eastAsia="zh-CN" w:bidi="ar-SA"/>
        </w:rPr>
      </w:pPr>
      <w:r>
        <w:rPr>
          <w:rFonts w:hint="eastAsia" w:ascii="方正小标宋简体" w:hAnsi="方正小标宋简体" w:eastAsia="方正小标宋简体" w:cs="方正小标宋简体"/>
          <w:b/>
          <w:bCs/>
          <w:kern w:val="2"/>
          <w:sz w:val="44"/>
          <w:szCs w:val="44"/>
          <w:highlight w:val="none"/>
          <w:lang w:val="en-US" w:eastAsia="zh-CN" w:bidi="ar-SA"/>
        </w:rPr>
        <w:t>纵横（安庆）低空经济产业发展有限公司</w:t>
      </w:r>
    </w:p>
    <w:p w14:paraId="3FD23D59">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680" w:lineRule="exact"/>
        <w:ind w:left="0" w:firstLine="0"/>
        <w:jc w:val="center"/>
        <w:textAlignment w:val="auto"/>
        <w:rPr>
          <w:rFonts w:hint="eastAsia" w:ascii="方正小标宋简体" w:hAnsi="方正小标宋简体" w:eastAsia="方正小标宋简体" w:cs="方正小标宋简体"/>
          <w:b/>
          <w:bCs/>
          <w:sz w:val="44"/>
          <w:szCs w:val="44"/>
          <w:highlight w:val="none"/>
          <w:lang w:eastAsia="zh-CN"/>
        </w:rPr>
      </w:pPr>
      <w:r>
        <w:rPr>
          <w:rFonts w:hint="eastAsia" w:ascii="方正小标宋简体" w:hAnsi="方正小标宋简体" w:eastAsia="方正小标宋简体" w:cs="方正小标宋简体"/>
          <w:b/>
          <w:bCs/>
          <w:kern w:val="2"/>
          <w:sz w:val="44"/>
          <w:szCs w:val="44"/>
          <w:highlight w:val="none"/>
          <w:lang w:val="en-US" w:eastAsia="zh-CN" w:bidi="ar-SA"/>
        </w:rPr>
        <w:t>农业无人机监测服务平台（含无人机场、无人机）</w:t>
      </w:r>
      <w:r>
        <w:rPr>
          <w:rFonts w:hint="eastAsia" w:ascii="方正小标宋简体" w:hAnsi="方正小标宋简体" w:eastAsia="方正小标宋简体" w:cs="方正小标宋简体"/>
          <w:b/>
          <w:bCs/>
          <w:sz w:val="44"/>
          <w:szCs w:val="44"/>
          <w:highlight w:val="none"/>
          <w:lang w:val="en-US" w:eastAsia="zh-CN"/>
        </w:rPr>
        <w:t>采购</w:t>
      </w:r>
      <w:r>
        <w:rPr>
          <w:rFonts w:hint="eastAsia" w:ascii="方正小标宋简体" w:hAnsi="方正小标宋简体" w:eastAsia="方正小标宋简体" w:cs="方正小标宋简体"/>
          <w:b/>
          <w:bCs/>
          <w:sz w:val="44"/>
          <w:szCs w:val="44"/>
          <w:highlight w:val="none"/>
        </w:rPr>
        <w:t>合同</w:t>
      </w:r>
    </w:p>
    <w:p w14:paraId="0A78E895">
      <w:pPr>
        <w:snapToGrid w:val="0"/>
        <w:spacing w:line="312" w:lineRule="auto"/>
        <w:rPr>
          <w:rFonts w:hint="eastAsia" w:ascii="宋体" w:hAnsi="宋体" w:cs="宋体" w:eastAsiaTheme="minorEastAsia"/>
          <w:highlight w:val="none"/>
          <w:lang w:eastAsia="zh-CN"/>
        </w:rPr>
      </w:pPr>
    </w:p>
    <w:p w14:paraId="46C9CED5">
      <w:pPr>
        <w:snapToGrid w:val="0"/>
        <w:spacing w:line="312" w:lineRule="auto"/>
        <w:rPr>
          <w:rFonts w:ascii="宋体" w:hAnsi="宋体" w:cs="宋体"/>
          <w:highlight w:val="none"/>
        </w:rPr>
      </w:pPr>
    </w:p>
    <w:p w14:paraId="1320A8E5">
      <w:pPr>
        <w:snapToGrid w:val="0"/>
        <w:spacing w:line="312" w:lineRule="auto"/>
        <w:rPr>
          <w:rFonts w:ascii="宋体" w:hAnsi="宋体" w:cs="宋体"/>
          <w:highlight w:val="none"/>
        </w:rPr>
      </w:pPr>
    </w:p>
    <w:p w14:paraId="57CEA25B">
      <w:pPr>
        <w:snapToGrid w:val="0"/>
        <w:spacing w:line="312" w:lineRule="auto"/>
        <w:rPr>
          <w:rFonts w:ascii="宋体" w:hAnsi="宋体" w:cs="宋体"/>
          <w:highlight w:val="none"/>
        </w:rPr>
      </w:pPr>
    </w:p>
    <w:p w14:paraId="665B5CB8">
      <w:pPr>
        <w:snapToGrid w:val="0"/>
        <w:spacing w:line="312" w:lineRule="auto"/>
        <w:rPr>
          <w:rFonts w:ascii="宋体" w:hAnsi="宋体" w:cs="宋体"/>
          <w:highlight w:val="none"/>
        </w:rPr>
      </w:pPr>
    </w:p>
    <w:p w14:paraId="5036C229">
      <w:pPr>
        <w:snapToGrid w:val="0"/>
        <w:spacing w:line="312" w:lineRule="auto"/>
        <w:rPr>
          <w:rFonts w:ascii="宋体" w:hAnsi="宋体" w:cs="宋体"/>
          <w:highlight w:val="none"/>
        </w:rPr>
      </w:pPr>
    </w:p>
    <w:p w14:paraId="0BDD6707">
      <w:pPr>
        <w:snapToGrid w:val="0"/>
        <w:spacing w:line="312" w:lineRule="auto"/>
        <w:rPr>
          <w:rFonts w:ascii="宋体" w:hAnsi="宋体" w:cs="宋体"/>
          <w:highlight w:val="none"/>
        </w:rPr>
      </w:pPr>
    </w:p>
    <w:p w14:paraId="4394B7E0">
      <w:pPr>
        <w:snapToGrid w:val="0"/>
        <w:spacing w:line="312" w:lineRule="auto"/>
        <w:rPr>
          <w:rFonts w:ascii="宋体" w:hAnsi="宋体" w:cs="宋体"/>
          <w:highlight w:val="none"/>
        </w:rPr>
      </w:pPr>
    </w:p>
    <w:p w14:paraId="5ADCB21C">
      <w:pPr>
        <w:snapToGrid w:val="0"/>
        <w:spacing w:line="312" w:lineRule="auto"/>
        <w:rPr>
          <w:rFonts w:ascii="宋体" w:hAnsi="宋体" w:cs="宋体"/>
          <w:highlight w:val="none"/>
        </w:rPr>
      </w:pPr>
    </w:p>
    <w:p w14:paraId="0EBF4D8C">
      <w:pPr>
        <w:snapToGrid w:val="0"/>
        <w:spacing w:line="312" w:lineRule="auto"/>
        <w:rPr>
          <w:rFonts w:ascii="宋体" w:hAnsi="宋体" w:cs="宋体"/>
          <w:highlight w:val="none"/>
        </w:rPr>
      </w:pPr>
    </w:p>
    <w:p w14:paraId="4C7E6C8B">
      <w:pPr>
        <w:snapToGrid w:val="0"/>
        <w:spacing w:line="312" w:lineRule="auto"/>
        <w:rPr>
          <w:rFonts w:hint="eastAsia" w:ascii="宋体" w:hAnsi="宋体" w:cs="宋体"/>
          <w:highlight w:val="none"/>
        </w:rPr>
      </w:pPr>
    </w:p>
    <w:p w14:paraId="2A095756">
      <w:pPr>
        <w:snapToGrid w:val="0"/>
        <w:spacing w:line="360" w:lineRule="auto"/>
        <w:ind w:firstLine="320" w:firstLineChars="100"/>
        <w:jc w:val="center"/>
        <w:rPr>
          <w:rFonts w:hint="eastAsia" w:ascii="宋体" w:hAnsi="宋体" w:eastAsia="宋体" w:cs="宋体"/>
          <w:sz w:val="32"/>
          <w:szCs w:val="32"/>
          <w:highlight w:val="none"/>
          <w:u w:val="single"/>
        </w:rPr>
      </w:pPr>
    </w:p>
    <w:p w14:paraId="14C03883">
      <w:pPr>
        <w:keepNext w:val="0"/>
        <w:keepLines w:val="0"/>
        <w:pageBreakBefore w:val="0"/>
        <w:widowControl w:val="0"/>
        <w:tabs>
          <w:tab w:val="left" w:leader="underscore" w:pos="6300"/>
          <w:tab w:val="left" w:leader="underscore" w:pos="7560"/>
        </w:tabs>
        <w:kinsoku/>
        <w:wordWrap/>
        <w:overflowPunct/>
        <w:topLinePunct w:val="0"/>
        <w:autoSpaceDE/>
        <w:autoSpaceDN/>
        <w:bidi w:val="0"/>
        <w:adjustRightInd/>
        <w:snapToGrid w:val="0"/>
        <w:spacing w:line="560" w:lineRule="exact"/>
        <w:ind w:firstLine="640" w:firstLineChars="200"/>
        <w:jc w:val="left"/>
        <w:textAlignment w:val="auto"/>
        <w:rPr>
          <w:rFonts w:hint="eastAsia" w:ascii="方正仿宋_GB2312" w:hAnsi="方正仿宋_GB2312" w:eastAsia="方正仿宋_GB2312" w:cs="方正仿宋_GB2312"/>
          <w:sz w:val="32"/>
          <w:szCs w:val="32"/>
          <w:highlight w:val="none"/>
          <w:u w:val="none"/>
          <w:lang w:val="en-US" w:eastAsia="zh-CN"/>
        </w:rPr>
      </w:pPr>
      <w:r>
        <w:rPr>
          <w:rFonts w:hint="eastAsia" w:ascii="方正仿宋_GB2312" w:hAnsi="方正仿宋_GB2312" w:eastAsia="方正仿宋_GB2312" w:cs="方正仿宋_GB2312"/>
          <w:sz w:val="32"/>
          <w:szCs w:val="32"/>
          <w:highlight w:val="none"/>
          <w:u w:val="none"/>
        </w:rPr>
        <w:t>甲方：</w:t>
      </w:r>
      <w:r>
        <w:rPr>
          <w:rFonts w:hint="eastAsia" w:ascii="方正仿宋_GB2312" w:hAnsi="方正仿宋_GB2312" w:eastAsia="方正仿宋_GB2312" w:cs="方正仿宋_GB2312"/>
          <w:sz w:val="32"/>
          <w:szCs w:val="32"/>
          <w:highlight w:val="none"/>
          <w:u w:val="single"/>
          <w:lang w:val="en-US" w:eastAsia="zh-CN"/>
        </w:rPr>
        <w:t xml:space="preserve">  纵横（安庆）低空经济产业发展有限公司      </w:t>
      </w:r>
    </w:p>
    <w:p w14:paraId="0A71D426">
      <w:pPr>
        <w:keepNext w:val="0"/>
        <w:keepLines w:val="0"/>
        <w:pageBreakBefore w:val="0"/>
        <w:widowControl w:val="0"/>
        <w:tabs>
          <w:tab w:val="left" w:leader="underscore" w:pos="6300"/>
          <w:tab w:val="left" w:leader="underscore" w:pos="7560"/>
        </w:tabs>
        <w:kinsoku/>
        <w:wordWrap/>
        <w:overflowPunct/>
        <w:topLinePunct w:val="0"/>
        <w:autoSpaceDE/>
        <w:autoSpaceDN/>
        <w:bidi w:val="0"/>
        <w:adjustRightInd/>
        <w:snapToGrid w:val="0"/>
        <w:spacing w:line="560" w:lineRule="exact"/>
        <w:ind w:firstLine="640" w:firstLineChars="200"/>
        <w:jc w:val="left"/>
        <w:textAlignment w:val="auto"/>
        <w:rPr>
          <w:rFonts w:hint="eastAsia" w:ascii="方正仿宋_GB2312" w:hAnsi="方正仿宋_GB2312" w:eastAsia="方正仿宋_GB2312" w:cs="方正仿宋_GB2312"/>
          <w:sz w:val="32"/>
          <w:szCs w:val="32"/>
          <w:highlight w:val="none"/>
          <w:u w:val="single"/>
          <w:lang w:val="en-US" w:eastAsia="zh-CN"/>
        </w:rPr>
      </w:pPr>
      <w:r>
        <w:rPr>
          <w:rFonts w:hint="eastAsia" w:ascii="方正仿宋_GB2312" w:hAnsi="方正仿宋_GB2312" w:eastAsia="方正仿宋_GB2312" w:cs="方正仿宋_GB2312"/>
          <w:sz w:val="32"/>
          <w:szCs w:val="32"/>
          <w:highlight w:val="none"/>
        </w:rPr>
        <w:t>乙方：</w:t>
      </w:r>
      <w:r>
        <w:rPr>
          <w:rFonts w:hint="eastAsia" w:ascii="方正仿宋_GB2312" w:hAnsi="方正仿宋_GB2312" w:eastAsia="方正仿宋_GB2312" w:cs="方正仿宋_GB2312"/>
          <w:sz w:val="32"/>
          <w:szCs w:val="32"/>
          <w:highlight w:val="none"/>
          <w:u w:val="single"/>
          <w:lang w:val="en-US" w:eastAsia="zh-CN"/>
        </w:rPr>
        <w:t xml:space="preserve">                        </w:t>
      </w:r>
      <w:r>
        <w:rPr>
          <w:rFonts w:hint="eastAsia" w:ascii="方正仿宋_GB2312" w:hAnsi="方正仿宋_GB2312" w:eastAsia="方正仿宋_GB2312" w:cs="方正仿宋_GB2312"/>
          <w:b w:val="0"/>
          <w:bCs w:val="0"/>
          <w:sz w:val="32"/>
          <w:szCs w:val="32"/>
          <w:highlight w:val="none"/>
          <w:u w:val="single"/>
          <w:lang w:val="en-US" w:eastAsia="zh-CN"/>
        </w:rPr>
        <w:t xml:space="preserve"> </w:t>
      </w:r>
      <w:r>
        <w:rPr>
          <w:rFonts w:hint="eastAsia" w:ascii="方正仿宋_GB2312" w:hAnsi="方正仿宋_GB2312" w:eastAsia="方正仿宋_GB2312" w:cs="方正仿宋_GB2312"/>
          <w:sz w:val="32"/>
          <w:szCs w:val="32"/>
          <w:highlight w:val="none"/>
          <w:u w:val="single"/>
          <w:lang w:val="en-US" w:eastAsia="zh-CN"/>
        </w:rPr>
        <w:t xml:space="preserve">                 </w:t>
      </w:r>
    </w:p>
    <w:p w14:paraId="6705D9E0">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方正仿宋_GB2312" w:hAnsi="方正仿宋_GB2312" w:eastAsia="方正仿宋_GB2312" w:cs="方正仿宋_GB2312"/>
          <w:b/>
          <w:bCs/>
          <w:color w:val="000000"/>
          <w:sz w:val="32"/>
          <w:szCs w:val="32"/>
          <w:highlight w:val="none"/>
          <w:lang w:eastAsia="zh-CN"/>
        </w:rPr>
      </w:pPr>
    </w:p>
    <w:p w14:paraId="782FC43C">
      <w:pPr>
        <w:keepNext w:val="0"/>
        <w:keepLines w:val="0"/>
        <w:pageBreakBefore w:val="0"/>
        <w:widowControl w:val="0"/>
        <w:tabs>
          <w:tab w:val="left" w:leader="underscore" w:pos="6300"/>
          <w:tab w:val="left" w:leader="underscore" w:pos="7560"/>
        </w:tabs>
        <w:kinsoku/>
        <w:wordWrap/>
        <w:overflowPunct/>
        <w:topLinePunct w:val="0"/>
        <w:autoSpaceDE/>
        <w:autoSpaceDN/>
        <w:bidi w:val="0"/>
        <w:adjustRightInd/>
        <w:snapToGrid w:val="0"/>
        <w:spacing w:line="560" w:lineRule="exact"/>
        <w:ind w:firstLine="640" w:firstLineChars="200"/>
        <w:jc w:val="left"/>
        <w:textAlignment w:val="auto"/>
        <w:rPr>
          <w:rFonts w:hint="eastAsia" w:ascii="方正仿宋_GB2312" w:hAnsi="方正仿宋_GB2312" w:eastAsia="方正仿宋_GB2312" w:cs="方正仿宋_GB2312"/>
          <w:sz w:val="32"/>
          <w:szCs w:val="32"/>
          <w:highlight w:val="none"/>
          <w:u w:val="none"/>
          <w:lang w:val="en-US" w:eastAsia="zh-CN"/>
        </w:rPr>
      </w:pPr>
    </w:p>
    <w:p w14:paraId="0BE2364B">
      <w:pPr>
        <w:keepNext w:val="0"/>
        <w:keepLines w:val="0"/>
        <w:pageBreakBefore w:val="0"/>
        <w:widowControl w:val="0"/>
        <w:tabs>
          <w:tab w:val="left" w:leader="underscore" w:pos="6300"/>
          <w:tab w:val="left" w:leader="underscore" w:pos="7560"/>
        </w:tabs>
        <w:kinsoku/>
        <w:wordWrap/>
        <w:overflowPunct/>
        <w:topLinePunct w:val="0"/>
        <w:autoSpaceDE/>
        <w:autoSpaceDN/>
        <w:bidi w:val="0"/>
        <w:adjustRightInd/>
        <w:snapToGrid w:val="0"/>
        <w:spacing w:line="560" w:lineRule="exact"/>
        <w:ind w:firstLine="640" w:firstLineChars="200"/>
        <w:jc w:val="left"/>
        <w:textAlignment w:val="auto"/>
        <w:rPr>
          <w:rFonts w:hint="eastAsia" w:ascii="方正仿宋_GB2312" w:hAnsi="方正仿宋_GB2312" w:eastAsia="方正仿宋_GB2312" w:cs="方正仿宋_GB2312"/>
          <w:sz w:val="32"/>
          <w:szCs w:val="32"/>
          <w:highlight w:val="none"/>
          <w:u w:val="none"/>
          <w:lang w:val="en-US" w:eastAsia="zh-CN"/>
        </w:rPr>
      </w:pPr>
    </w:p>
    <w:p w14:paraId="5207495D">
      <w:pPr>
        <w:keepNext w:val="0"/>
        <w:keepLines w:val="0"/>
        <w:pageBreakBefore w:val="0"/>
        <w:widowControl w:val="0"/>
        <w:tabs>
          <w:tab w:val="left" w:leader="underscore" w:pos="6300"/>
          <w:tab w:val="left" w:leader="underscore" w:pos="7560"/>
        </w:tabs>
        <w:kinsoku/>
        <w:wordWrap/>
        <w:overflowPunct/>
        <w:topLinePunct w:val="0"/>
        <w:autoSpaceDE/>
        <w:autoSpaceDN/>
        <w:bidi w:val="0"/>
        <w:adjustRightInd/>
        <w:snapToGrid w:val="0"/>
        <w:spacing w:line="560" w:lineRule="exact"/>
        <w:ind w:firstLine="640" w:firstLineChars="200"/>
        <w:jc w:val="left"/>
        <w:textAlignment w:val="auto"/>
        <w:rPr>
          <w:rFonts w:hint="default" w:ascii="方正仿宋_GB2312" w:hAnsi="方正仿宋_GB2312" w:eastAsia="方正仿宋_GB2312" w:cs="方正仿宋_GB2312"/>
          <w:sz w:val="32"/>
          <w:szCs w:val="32"/>
          <w:highlight w:val="none"/>
          <w:u w:val="none"/>
          <w:lang w:val="en-US" w:eastAsia="zh-CN"/>
        </w:rPr>
        <w:sectPr>
          <w:footerReference r:id="rId3" w:type="default"/>
          <w:pgSz w:w="11906" w:h="16838"/>
          <w:pgMar w:top="1440" w:right="1800" w:bottom="1440" w:left="1800" w:header="794" w:footer="992" w:gutter="0"/>
          <w:pgNumType w:fmt="decimal"/>
          <w:cols w:space="425" w:num="1"/>
          <w:docGrid w:type="lines" w:linePitch="312" w:charSpace="0"/>
        </w:sectPr>
      </w:pPr>
      <w:r>
        <w:rPr>
          <w:rFonts w:hint="eastAsia" w:ascii="方正仿宋_GB2312" w:hAnsi="方正仿宋_GB2312" w:eastAsia="方正仿宋_GB2312" w:cs="方正仿宋_GB2312"/>
          <w:sz w:val="32"/>
          <w:szCs w:val="32"/>
          <w:highlight w:val="none"/>
          <w:u w:val="none"/>
          <w:lang w:val="en-US" w:eastAsia="zh-CN"/>
        </w:rPr>
        <w:t>签订地点：安庆市岳西县</w:t>
      </w:r>
    </w:p>
    <w:p w14:paraId="4A7211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b/>
          <w:color w:val="000000"/>
          <w:sz w:val="28"/>
          <w:szCs w:val="28"/>
          <w:highlight w:val="none"/>
        </w:rPr>
      </w:pPr>
      <w:r>
        <w:rPr>
          <w:rFonts w:hint="eastAsia" w:ascii="方正仿宋_GB2312" w:hAnsi="方正仿宋_GB2312" w:eastAsia="方正仿宋_GB2312" w:cs="方正仿宋_GB2312"/>
          <w:b/>
          <w:color w:val="000000"/>
          <w:sz w:val="28"/>
          <w:szCs w:val="28"/>
          <w:highlight w:val="none"/>
        </w:rPr>
        <w:t>需方、供方</w:t>
      </w:r>
    </w:p>
    <w:p w14:paraId="21A720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b/>
          <w:bCs/>
          <w:color w:val="000000"/>
          <w:sz w:val="28"/>
          <w:szCs w:val="28"/>
          <w:highlight w:val="none"/>
          <w:lang w:val="en-US" w:eastAsia="zh-CN"/>
        </w:rPr>
      </w:pPr>
      <w:r>
        <w:rPr>
          <w:rFonts w:hint="eastAsia" w:ascii="方正仿宋_GB2312" w:hAnsi="方正仿宋_GB2312" w:eastAsia="方正仿宋_GB2312" w:cs="方正仿宋_GB2312"/>
          <w:color w:val="000000"/>
          <w:sz w:val="28"/>
          <w:szCs w:val="28"/>
          <w:highlight w:val="none"/>
        </w:rPr>
        <w:t>需（甲）方：</w:t>
      </w:r>
      <w:r>
        <w:rPr>
          <w:rFonts w:hint="eastAsia" w:ascii="方正仿宋_GB2312" w:hAnsi="方正仿宋_GB2312" w:eastAsia="方正仿宋_GB2312" w:cs="方正仿宋_GB2312"/>
          <w:b/>
          <w:bCs/>
          <w:color w:val="000000"/>
          <w:sz w:val="28"/>
          <w:szCs w:val="28"/>
          <w:highlight w:val="none"/>
        </w:rPr>
        <w:t>纵横（安庆）低空经济产业发展有限公司</w:t>
      </w:r>
    </w:p>
    <w:p w14:paraId="2D9973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b/>
          <w:bCs/>
          <w:color w:val="000000"/>
          <w:sz w:val="28"/>
          <w:szCs w:val="28"/>
          <w:highlight w:val="none"/>
          <w:lang w:eastAsia="zh-CN"/>
        </w:rPr>
      </w:pPr>
      <w:r>
        <w:rPr>
          <w:rFonts w:hint="eastAsia" w:ascii="方正仿宋_GB2312" w:hAnsi="方正仿宋_GB2312" w:eastAsia="方正仿宋_GB2312" w:cs="方正仿宋_GB2312"/>
          <w:color w:val="000000"/>
          <w:sz w:val="28"/>
          <w:szCs w:val="28"/>
          <w:highlight w:val="none"/>
        </w:rPr>
        <w:t>供（乙）方：</w:t>
      </w:r>
    </w:p>
    <w:p w14:paraId="645124AE">
      <w:pPr>
        <w:keepNext w:val="0"/>
        <w:keepLines w:val="0"/>
        <w:pageBreakBefore w:val="0"/>
        <w:widowControl w:val="0"/>
        <w:tabs>
          <w:tab w:val="left" w:pos="5670"/>
        </w:tabs>
        <w:kinsoku/>
        <w:wordWrap/>
        <w:overflowPunct/>
        <w:topLinePunct w:val="0"/>
        <w:autoSpaceDE/>
        <w:autoSpaceDN/>
        <w:bidi w:val="0"/>
        <w:adjustRightInd/>
        <w:snapToGrid/>
        <w:spacing w:line="56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根据《中华人民共和国民法典》等相关法律法规的规定，按照平等、自愿、公平和诚实信用的原则，经甲方和乙方协商一致，约定下述合同条款，以共同遵守并全面履行。</w:t>
      </w:r>
    </w:p>
    <w:p w14:paraId="118F495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b/>
          <w:bCs w:val="0"/>
          <w:color w:val="000000"/>
          <w:sz w:val="28"/>
          <w:szCs w:val="28"/>
          <w:highlight w:val="none"/>
          <w:lang w:val="en-US" w:eastAsia="zh-CN"/>
        </w:rPr>
      </w:pPr>
      <w:r>
        <w:rPr>
          <w:rFonts w:hint="eastAsia" w:ascii="方正仿宋_GB2312" w:hAnsi="方正仿宋_GB2312" w:eastAsia="方正仿宋_GB2312" w:cs="方正仿宋_GB2312"/>
          <w:b/>
          <w:bCs w:val="0"/>
          <w:color w:val="000000"/>
          <w:sz w:val="28"/>
          <w:szCs w:val="28"/>
          <w:highlight w:val="none"/>
          <w:lang w:val="en-US" w:eastAsia="zh-CN"/>
        </w:rPr>
        <w:t>货物标的</w:t>
      </w:r>
    </w:p>
    <w:tbl>
      <w:tblPr>
        <w:tblStyle w:val="11"/>
        <w:tblW w:w="9833" w:type="dxa"/>
        <w:jc w:val="center"/>
        <w:tblLayout w:type="fixed"/>
        <w:tblCellMar>
          <w:top w:w="0" w:type="dxa"/>
          <w:left w:w="108" w:type="dxa"/>
          <w:bottom w:w="0" w:type="dxa"/>
          <w:right w:w="108" w:type="dxa"/>
        </w:tblCellMar>
      </w:tblPr>
      <w:tblGrid>
        <w:gridCol w:w="9833"/>
      </w:tblGrid>
      <w:tr w14:paraId="2E352B85">
        <w:tblPrEx>
          <w:tblCellMar>
            <w:top w:w="0" w:type="dxa"/>
            <w:left w:w="108" w:type="dxa"/>
            <w:bottom w:w="0" w:type="dxa"/>
            <w:right w:w="108" w:type="dxa"/>
          </w:tblCellMar>
        </w:tblPrEx>
        <w:trPr>
          <w:trHeight w:val="454" w:hRule="atLeast"/>
          <w:jc w:val="center"/>
        </w:trPr>
        <w:tc>
          <w:tcPr>
            <w:tcW w:w="9833" w:type="dxa"/>
            <w:tcBorders>
              <w:top w:val="single" w:color="auto" w:sz="4" w:space="0"/>
              <w:left w:val="single" w:color="auto" w:sz="4" w:space="0"/>
              <w:bottom w:val="single" w:color="auto" w:sz="4" w:space="0"/>
              <w:right w:val="single" w:color="auto" w:sz="4" w:space="0"/>
            </w:tcBorders>
            <w:noWrap/>
            <w:vAlign w:val="center"/>
          </w:tcPr>
          <w:p w14:paraId="76539A56">
            <w:pPr>
              <w:widowControl/>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货物</w:t>
            </w:r>
            <w:r>
              <w:rPr>
                <w:rFonts w:hint="eastAsia" w:ascii="宋体" w:hAnsi="宋体" w:eastAsia="宋体" w:cs="宋体"/>
                <w:color w:val="000000"/>
                <w:sz w:val="21"/>
                <w:szCs w:val="21"/>
                <w:highlight w:val="none"/>
              </w:rPr>
              <w:t>详情</w:t>
            </w:r>
            <w:r>
              <w:rPr>
                <w:rFonts w:hint="eastAsia" w:ascii="宋体" w:hAnsi="宋体" w:eastAsia="宋体" w:cs="宋体"/>
                <w:color w:val="000000"/>
                <w:sz w:val="21"/>
                <w:szCs w:val="21"/>
                <w:highlight w:val="none"/>
                <w:lang w:eastAsia="zh-CN"/>
              </w:rPr>
              <w:t>：</w:t>
            </w:r>
          </w:p>
        </w:tc>
      </w:tr>
      <w:tr w14:paraId="0209BE18">
        <w:tblPrEx>
          <w:tblCellMar>
            <w:top w:w="0" w:type="dxa"/>
            <w:left w:w="108" w:type="dxa"/>
            <w:bottom w:w="0" w:type="dxa"/>
            <w:right w:w="108" w:type="dxa"/>
          </w:tblCellMar>
        </w:tblPrEx>
        <w:trPr>
          <w:trHeight w:val="454" w:hRule="atLeast"/>
          <w:jc w:val="center"/>
        </w:trPr>
        <w:tc>
          <w:tcPr>
            <w:tcW w:w="9833" w:type="dxa"/>
            <w:tcBorders>
              <w:top w:val="single" w:color="auto" w:sz="4" w:space="0"/>
              <w:left w:val="single" w:color="auto" w:sz="4" w:space="0"/>
              <w:bottom w:val="single" w:color="auto" w:sz="4" w:space="0"/>
              <w:right w:val="single" w:color="auto" w:sz="4" w:space="0"/>
            </w:tcBorders>
            <w:noWrap/>
            <w:vAlign w:val="center"/>
          </w:tcPr>
          <w:tbl>
            <w:tblPr>
              <w:tblStyle w:val="11"/>
              <w:tblW w:w="94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1"/>
              <w:gridCol w:w="1511"/>
              <w:gridCol w:w="3375"/>
              <w:gridCol w:w="921"/>
              <w:gridCol w:w="1057"/>
              <w:gridCol w:w="1022"/>
              <w:gridCol w:w="924"/>
            </w:tblGrid>
            <w:tr w14:paraId="4E04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AE03">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448F">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货物名称</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32E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品牌、型号规格</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01E7">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9DB8">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单价</w:t>
                  </w:r>
                </w:p>
                <w:p w14:paraId="7AC73693">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（元）</w:t>
                  </w:r>
                </w:p>
              </w:tc>
              <w:tc>
                <w:tcPr>
                  <w:tcW w:w="1022" w:type="dxa"/>
                  <w:tcBorders>
                    <w:top w:val="single" w:color="000000" w:sz="4" w:space="0"/>
                    <w:left w:val="single" w:color="000000" w:sz="4" w:space="0"/>
                    <w:right w:val="single" w:color="000000" w:sz="4" w:space="0"/>
                  </w:tcBorders>
                  <w:shd w:val="clear" w:color="auto" w:fill="auto"/>
                  <w:vAlign w:val="center"/>
                </w:tcPr>
                <w:p w14:paraId="6D41C386">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小计</w:t>
                  </w:r>
                </w:p>
                <w:p w14:paraId="572574BF">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（元）</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A73F">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7F049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120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A37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管理平台</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03F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长光禹辰、多光谱专用飞控平台</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371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C3E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DB9C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AB49">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bookmarkStart w:id="0" w:name="_GoBack"/>
                  <w:bookmarkEnd w:id="0"/>
                </w:p>
              </w:tc>
            </w:tr>
            <w:tr w14:paraId="2C258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8BC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10C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无人机场</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EC1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大疆、大疆机场 3（中国版）</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648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1件</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216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FBF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996B">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6F2F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17D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E5B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无人机</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E0A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大疆、DJI Matrice 4TD（中国版）</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742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1件</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C5F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57A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2027">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28FFD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01D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6E4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无人机电池</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5F8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大疆、DJI Matrice 4D系列电池</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91C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1块</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F84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285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E867">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0B11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833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CE0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增强图传模块</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6DD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大疆、DJI 增强图传模块</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30F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1件</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909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D9A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466C">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92C5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AF0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6D4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多光谱相机</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401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长光禹辰、VD200</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F0A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1件</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1C5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247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E946">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261A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7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75AD88">
                  <w:pPr>
                    <w:keepNext w:val="0"/>
                    <w:keepLines w:val="0"/>
                    <w:widowControl/>
                    <w:suppressLineNumbers w:val="0"/>
                    <w:jc w:val="left"/>
                    <w:textAlignment w:val="center"/>
                    <w:rPr>
                      <w:rFonts w:hint="default"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总计：（大写）</w:t>
                  </w: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BEB3">
                  <w:pPr>
                    <w:keepNext w:val="0"/>
                    <w:keepLines w:val="0"/>
                    <w:widowControl/>
                    <w:suppressLineNumbers w:val="0"/>
                    <w:jc w:val="center"/>
                    <w:textAlignment w:val="center"/>
                    <w:rPr>
                      <w:rFonts w:hint="default" w:ascii="宋体" w:hAnsi="宋体" w:eastAsia="宋体" w:cs="宋体"/>
                      <w:i w:val="0"/>
                      <w:iCs w:val="0"/>
                      <w:color w:val="000000"/>
                      <w:kern w:val="2"/>
                      <w:sz w:val="21"/>
                      <w:szCs w:val="21"/>
                      <w:highlight w:val="none"/>
                      <w:u w:val="none"/>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DDB7">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p>
              </w:tc>
            </w:tr>
          </w:tbl>
          <w:p w14:paraId="00C65EA8">
            <w:pPr>
              <w:widowControl/>
              <w:jc w:val="left"/>
              <w:rPr>
                <w:rFonts w:hint="eastAsia" w:ascii="宋体" w:hAnsi="宋体" w:eastAsia="宋体" w:cs="宋体"/>
                <w:color w:val="000000"/>
                <w:sz w:val="21"/>
                <w:szCs w:val="21"/>
                <w:highlight w:val="none"/>
              </w:rPr>
            </w:pPr>
          </w:p>
        </w:tc>
      </w:tr>
    </w:tbl>
    <w:p w14:paraId="016D381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合同总金额：</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元（大写：                        元 ）</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 xml:space="preserve">                 </w:t>
      </w:r>
      <w:r>
        <w:rPr>
          <w:rFonts w:hint="eastAsia" w:ascii="方正仿宋_GB2312" w:hAnsi="方正仿宋_GB2312" w:eastAsia="方正仿宋_GB2312" w:cs="方正仿宋_GB2312"/>
          <w:sz w:val="28"/>
          <w:szCs w:val="28"/>
          <w:highlight w:val="none"/>
        </w:rPr>
        <w:t>甲方付款以实际到达乙方银行账户为准，如乙方应甲方要求在付款前提前开具发票的，该开票行为不代表甲方已完成付款。</w:t>
      </w:r>
    </w:p>
    <w:p w14:paraId="3C8453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b w:val="0"/>
          <w:bCs w:val="0"/>
          <w:sz w:val="28"/>
          <w:szCs w:val="28"/>
          <w:highlight w:val="none"/>
          <w:lang w:val="en-US" w:eastAsia="zh-CN"/>
        </w:rPr>
      </w:pPr>
      <w:r>
        <w:rPr>
          <w:rFonts w:hint="eastAsia" w:ascii="方正仿宋_GB2312" w:hAnsi="方正仿宋_GB2312" w:eastAsia="方正仿宋_GB2312" w:cs="方正仿宋_GB2312"/>
          <w:b w:val="0"/>
          <w:bCs w:val="0"/>
          <w:sz w:val="28"/>
          <w:szCs w:val="28"/>
          <w:highlight w:val="none"/>
          <w:lang w:val="en-US" w:eastAsia="zh-CN"/>
        </w:rPr>
        <w:t>注：本总价包含全部产品供货、送货上门、软硬件安装部署、调试、系统联调、税费（增值税专用发票）、培训等全部费用，甲方无需额外支付其他任何费用。</w:t>
      </w:r>
    </w:p>
    <w:p w14:paraId="4BF2A0A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b/>
          <w:bCs/>
          <w:sz w:val="28"/>
          <w:szCs w:val="28"/>
          <w:highlight w:val="none"/>
        </w:rPr>
        <w:t>终端</w:t>
      </w:r>
      <w:r>
        <w:rPr>
          <w:rFonts w:hint="eastAsia" w:ascii="方正仿宋_GB2312" w:hAnsi="方正仿宋_GB2312" w:eastAsia="方正仿宋_GB2312" w:cs="方正仿宋_GB2312"/>
          <w:b/>
          <w:bCs/>
          <w:sz w:val="28"/>
          <w:szCs w:val="28"/>
          <w:highlight w:val="none"/>
          <w:lang w:val="en-US" w:eastAsia="zh-CN"/>
        </w:rPr>
        <w:t>实际使用单位</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u w:val="none"/>
          <w:lang w:eastAsia="zh-CN"/>
        </w:rPr>
        <w:t>。</w:t>
      </w:r>
      <w:r>
        <w:rPr>
          <w:rFonts w:hint="eastAsia" w:ascii="方正仿宋_GB2312" w:hAnsi="方正仿宋_GB2312" w:eastAsia="方正仿宋_GB2312" w:cs="方正仿宋_GB2312"/>
          <w:b w:val="0"/>
          <w:bCs w:val="0"/>
          <w:color w:val="auto"/>
          <w:sz w:val="28"/>
          <w:szCs w:val="28"/>
          <w:highlight w:val="none"/>
          <w:u w:val="none"/>
          <w:lang w:val="en-US" w:eastAsia="zh-CN"/>
        </w:rPr>
        <w:t>依据《无人驾驶航空器飞行管理暂行条例》，甲方需配合终端用户完成无人机实名登记注册；乙方负责完成多光谱相机硬件安装调试、管理平台软件部署、无人机—机场—多光谱相机三方系统联调，保障整套农业无人机监测服务平台可以正常开展多光谱数据采集作业。</w:t>
      </w:r>
    </w:p>
    <w:p w14:paraId="14805E8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b/>
          <w:bCs/>
          <w:sz w:val="28"/>
          <w:szCs w:val="28"/>
          <w:highlight w:val="none"/>
          <w:u w:val="none"/>
          <w:lang w:val="en-US" w:eastAsia="zh-CN"/>
        </w:rPr>
        <w:t>交货日期：</w:t>
      </w:r>
    </w:p>
    <w:p w14:paraId="7042471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eastAsia="zh-CN"/>
        </w:rPr>
      </w:pPr>
      <w:r>
        <w:rPr>
          <w:rFonts w:hint="eastAsia" w:ascii="方正仿宋_GB2312" w:hAnsi="方正仿宋_GB2312" w:eastAsia="方正仿宋_GB2312" w:cs="方正仿宋_GB2312"/>
          <w:b w:val="0"/>
          <w:bCs w:val="0"/>
          <w:sz w:val="28"/>
          <w:szCs w:val="28"/>
          <w:highlight w:val="none"/>
          <w:u w:val="none"/>
          <w:lang w:eastAsia="zh-CN"/>
        </w:rPr>
        <w:t>乙方承诺自本合同生效后【</w:t>
      </w:r>
      <w:r>
        <w:rPr>
          <w:rFonts w:hint="eastAsia" w:ascii="方正仿宋_GB2312" w:hAnsi="方正仿宋_GB2312" w:eastAsia="方正仿宋_GB2312" w:cs="方正仿宋_GB2312"/>
          <w:b w:val="0"/>
          <w:bCs w:val="0"/>
          <w:sz w:val="28"/>
          <w:szCs w:val="28"/>
          <w:highlight w:val="none"/>
          <w:u w:val="none"/>
          <w:lang w:val="en-US" w:eastAsia="zh-CN"/>
        </w:rPr>
        <w:t>5</w:t>
      </w:r>
      <w:r>
        <w:rPr>
          <w:rFonts w:hint="eastAsia" w:ascii="方正仿宋_GB2312" w:hAnsi="方正仿宋_GB2312" w:eastAsia="方正仿宋_GB2312" w:cs="方正仿宋_GB2312"/>
          <w:b w:val="0"/>
          <w:bCs w:val="0"/>
          <w:sz w:val="28"/>
          <w:szCs w:val="28"/>
          <w:highlight w:val="none"/>
          <w:u w:val="none"/>
          <w:lang w:eastAsia="zh-CN"/>
        </w:rPr>
        <w:t>】个工作日内完成全部设备到货；延迟发货的，乙方应第一时间书面告知甲方。</w:t>
      </w:r>
    </w:p>
    <w:p w14:paraId="5B5A391C">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乙方送货时须随货提供完整资料：产品合格证、出厂检测报告、原厂说明书、保修卡、设备全套软硬件资料；长光禹辰管理平台、VD200多光谱相机需同步提供软件介质/授权文件、软件使用手册、相机校准资料，满足终端用户验收、备案、实名登记、平台部署使用要求。</w:t>
      </w:r>
    </w:p>
    <w:p w14:paraId="4D620FF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乙方无正当理由逾期到货的，每逾期一日，违约金按合同总金额的</w:t>
      </w:r>
      <w:r>
        <w:rPr>
          <w:rFonts w:hint="eastAsia" w:ascii="方正仿宋_GB2312" w:hAnsi="方正仿宋_GB2312" w:eastAsia="方正仿宋_GB2312" w:cs="方正仿宋_GB2312"/>
          <w:b w:val="0"/>
          <w:bCs w:val="0"/>
          <w:sz w:val="28"/>
          <w:szCs w:val="28"/>
          <w:highlight w:val="none"/>
          <w:u w:val="single"/>
          <w:lang w:val="en-US" w:eastAsia="zh-CN"/>
        </w:rPr>
        <w:t xml:space="preserve">0.5‰ </w:t>
      </w:r>
      <w:r>
        <w:rPr>
          <w:rFonts w:hint="eastAsia" w:ascii="方正仿宋_GB2312" w:hAnsi="方正仿宋_GB2312" w:eastAsia="方正仿宋_GB2312" w:cs="方正仿宋_GB2312"/>
          <w:b w:val="0"/>
          <w:bCs w:val="0"/>
          <w:sz w:val="28"/>
          <w:szCs w:val="28"/>
          <w:highlight w:val="none"/>
          <w:u w:val="none"/>
          <w:lang w:val="en-US" w:eastAsia="zh-CN"/>
        </w:rPr>
        <w:t>计算</w:t>
      </w:r>
      <w:r>
        <w:rPr>
          <w:rFonts w:hint="eastAsia" w:ascii="方正仿宋_GB2312" w:hAnsi="方正仿宋_GB2312" w:eastAsia="方正仿宋_GB2312" w:cs="方正仿宋_GB2312"/>
          <w:b w:val="0"/>
          <w:bCs w:val="0"/>
          <w:sz w:val="28"/>
          <w:szCs w:val="28"/>
          <w:highlight w:val="none"/>
          <w:u w:val="none"/>
          <w:lang w:val="en-US" w:eastAsia="zh-CN"/>
        </w:rPr>
        <w:t>，违约金累计最高不超过本合同总价款的</w:t>
      </w:r>
      <w:r>
        <w:rPr>
          <w:rFonts w:hint="eastAsia" w:ascii="方正仿宋_GB2312" w:hAnsi="方正仿宋_GB2312" w:eastAsia="方正仿宋_GB2312" w:cs="方正仿宋_GB2312"/>
          <w:b w:val="0"/>
          <w:bCs w:val="0"/>
          <w:sz w:val="28"/>
          <w:szCs w:val="28"/>
          <w:highlight w:val="none"/>
          <w:u w:val="single"/>
          <w:lang w:val="en-US" w:eastAsia="zh-CN"/>
        </w:rPr>
        <w:t xml:space="preserve"> 5% </w:t>
      </w:r>
      <w:r>
        <w:rPr>
          <w:rFonts w:hint="eastAsia" w:ascii="方正仿宋_GB2312" w:hAnsi="方正仿宋_GB2312" w:eastAsia="方正仿宋_GB2312" w:cs="方正仿宋_GB2312"/>
          <w:b w:val="0"/>
          <w:bCs w:val="0"/>
          <w:sz w:val="28"/>
          <w:szCs w:val="28"/>
          <w:highlight w:val="none"/>
          <w:u w:val="none"/>
          <w:lang w:val="en-US" w:eastAsia="zh-CN"/>
        </w:rPr>
        <w:t>。</w:t>
      </w:r>
    </w:p>
    <w:p w14:paraId="0E7B450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28"/>
          <w:szCs w:val="28"/>
          <w:highlight w:val="none"/>
          <w:u w:val="none"/>
          <w:lang w:eastAsia="zh-CN"/>
        </w:rPr>
      </w:pPr>
      <w:r>
        <w:rPr>
          <w:rFonts w:hint="eastAsia" w:ascii="方正仿宋_GB2312" w:hAnsi="方正仿宋_GB2312" w:eastAsia="方正仿宋_GB2312" w:cs="方正仿宋_GB2312"/>
          <w:b/>
          <w:bCs/>
          <w:sz w:val="28"/>
          <w:szCs w:val="28"/>
          <w:highlight w:val="none"/>
        </w:rPr>
        <w:t>付款</w:t>
      </w:r>
      <w:r>
        <w:rPr>
          <w:rFonts w:hint="eastAsia" w:ascii="方正仿宋_GB2312" w:hAnsi="方正仿宋_GB2312" w:eastAsia="方正仿宋_GB2312" w:cs="方正仿宋_GB2312"/>
          <w:b/>
          <w:bCs/>
          <w:sz w:val="28"/>
          <w:szCs w:val="28"/>
          <w:highlight w:val="none"/>
          <w:lang w:val="en-US" w:eastAsia="zh-CN"/>
        </w:rPr>
        <w:t>约定</w:t>
      </w:r>
      <w:r>
        <w:rPr>
          <w:rFonts w:hint="eastAsia" w:ascii="方正仿宋_GB2312" w:hAnsi="方正仿宋_GB2312" w:eastAsia="方正仿宋_GB2312" w:cs="方正仿宋_GB2312"/>
          <w:b/>
          <w:bCs/>
          <w:sz w:val="28"/>
          <w:szCs w:val="28"/>
          <w:highlight w:val="none"/>
        </w:rPr>
        <w:t>：</w:t>
      </w:r>
    </w:p>
    <w:p w14:paraId="041EAD5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lang w:eastAsia="zh-CN"/>
        </w:rPr>
      </w:pPr>
      <w:r>
        <w:rPr>
          <w:rFonts w:hint="eastAsia" w:ascii="方正仿宋_GB2312" w:hAnsi="方正仿宋_GB2312" w:eastAsia="方正仿宋_GB2312" w:cs="方正仿宋_GB2312"/>
          <w:b/>
          <w:bCs/>
          <w:sz w:val="28"/>
          <w:szCs w:val="28"/>
          <w:highlight w:val="none"/>
          <w:u w:val="none"/>
          <w:lang w:eastAsia="zh-CN"/>
        </w:rPr>
        <w:t>付款方式：</w:t>
      </w:r>
      <w:r>
        <w:rPr>
          <w:rFonts w:hint="eastAsia" w:ascii="方正仿宋_GB2312" w:hAnsi="方正仿宋_GB2312" w:eastAsia="方正仿宋_GB2312" w:cs="方正仿宋_GB2312"/>
          <w:sz w:val="28"/>
          <w:szCs w:val="28"/>
          <w:highlight w:val="none"/>
          <w:u w:val="none"/>
          <w:lang w:eastAsia="zh-CN"/>
        </w:rPr>
        <w:t>☑电汇   □汇票   □现金   □支票   □其它</w:t>
      </w:r>
    </w:p>
    <w:p w14:paraId="305E23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账户名称</w:t>
      </w:r>
      <w:r>
        <w:rPr>
          <w:rFonts w:hint="eastAsia" w:ascii="方正仿宋_GB2312" w:hAnsi="方正仿宋_GB2312" w:eastAsia="方正仿宋_GB2312" w:cs="方正仿宋_GB2312"/>
          <w:sz w:val="28"/>
          <w:szCs w:val="28"/>
          <w:highlight w:val="none"/>
        </w:rPr>
        <w:t>：</w:t>
      </w:r>
    </w:p>
    <w:p w14:paraId="7E1A1B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开户银行：</w:t>
      </w:r>
    </w:p>
    <w:p w14:paraId="34860C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银行</w:t>
      </w:r>
      <w:r>
        <w:rPr>
          <w:rFonts w:hint="eastAsia" w:ascii="方正仿宋_GB2312" w:hAnsi="方正仿宋_GB2312" w:eastAsia="方正仿宋_GB2312" w:cs="方正仿宋_GB2312"/>
          <w:sz w:val="28"/>
          <w:szCs w:val="28"/>
          <w:highlight w:val="none"/>
        </w:rPr>
        <w:t>账号</w:t>
      </w:r>
      <w:r>
        <w:rPr>
          <w:rFonts w:hint="eastAsia" w:ascii="方正仿宋_GB2312" w:hAnsi="方正仿宋_GB2312" w:eastAsia="方正仿宋_GB2312" w:cs="方正仿宋_GB2312"/>
          <w:sz w:val="28"/>
          <w:szCs w:val="28"/>
          <w:highlight w:val="none"/>
          <w:lang w:eastAsia="zh-CN"/>
        </w:rPr>
        <w:t>：</w:t>
      </w:r>
    </w:p>
    <w:p w14:paraId="67BC517B">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bCs/>
          <w:sz w:val="28"/>
          <w:szCs w:val="28"/>
          <w:highlight w:val="none"/>
          <w:u w:val="none"/>
          <w:lang w:eastAsia="zh-CN"/>
        </w:rPr>
      </w:pPr>
      <w:r>
        <w:rPr>
          <w:rFonts w:hint="eastAsia" w:ascii="方正仿宋_GB2312" w:hAnsi="方正仿宋_GB2312" w:eastAsia="方正仿宋_GB2312" w:cs="方正仿宋_GB2312"/>
          <w:b w:val="0"/>
          <w:bCs w:val="0"/>
          <w:sz w:val="28"/>
          <w:szCs w:val="28"/>
          <w:highlight w:val="none"/>
          <w:u w:val="none"/>
          <w:lang w:eastAsia="zh-CN"/>
        </w:rPr>
        <w:t>本项目资金来源为终端实际使用单位向甲方支付的采购款项。甲方在实际足额收到终端单位支付的本项目全部对应款项后</w:t>
      </w:r>
      <w:r>
        <w:rPr>
          <w:rFonts w:hint="eastAsia" w:ascii="方正仿宋_GB2312" w:hAnsi="方正仿宋_GB2312" w:eastAsia="方正仿宋_GB2312" w:cs="方正仿宋_GB2312"/>
          <w:b w:val="0"/>
          <w:bCs w:val="0"/>
          <w:sz w:val="28"/>
          <w:szCs w:val="28"/>
          <w:highlight w:val="none"/>
          <w:u w:val="single"/>
          <w:lang w:eastAsia="zh-CN"/>
        </w:rPr>
        <w:t xml:space="preserve"> 5 </w:t>
      </w:r>
      <w:r>
        <w:rPr>
          <w:rFonts w:hint="eastAsia" w:ascii="方正仿宋_GB2312" w:hAnsi="方正仿宋_GB2312" w:eastAsia="方正仿宋_GB2312" w:cs="方正仿宋_GB2312"/>
          <w:b w:val="0"/>
          <w:bCs w:val="0"/>
          <w:sz w:val="28"/>
          <w:szCs w:val="28"/>
          <w:highlight w:val="none"/>
          <w:u w:val="none"/>
          <w:lang w:eastAsia="zh-CN"/>
        </w:rPr>
        <w:t>个工作日内，甲方向乙方一次性支付本合同全部合同价款，合计人民币</w:t>
      </w:r>
      <w:r>
        <w:rPr>
          <w:rFonts w:hint="eastAsia" w:ascii="方正仿宋_GB2312" w:hAnsi="方正仿宋_GB2312" w:eastAsia="方正仿宋_GB2312" w:cs="方正仿宋_GB2312"/>
          <w:b w:val="0"/>
          <w:bCs w:val="0"/>
          <w:sz w:val="28"/>
          <w:szCs w:val="28"/>
          <w:highlight w:val="none"/>
          <w:u w:val="single"/>
          <w:lang w:val="en-US" w:eastAsia="zh-CN"/>
        </w:rPr>
        <w:t xml:space="preserve">                           </w:t>
      </w:r>
      <w:r>
        <w:rPr>
          <w:rFonts w:hint="eastAsia" w:ascii="方正仿宋_GB2312" w:hAnsi="方正仿宋_GB2312" w:eastAsia="方正仿宋_GB2312" w:cs="方正仿宋_GB2312"/>
          <w:b w:val="0"/>
          <w:bCs w:val="0"/>
          <w:sz w:val="28"/>
          <w:szCs w:val="28"/>
          <w:highlight w:val="none"/>
          <w:u w:val="none"/>
          <w:lang w:eastAsia="zh-CN"/>
        </w:rPr>
        <w:t>元整（小写：¥</w:t>
      </w:r>
      <w:r>
        <w:rPr>
          <w:rFonts w:hint="eastAsia" w:ascii="方正仿宋_GB2312" w:hAnsi="方正仿宋_GB2312" w:eastAsia="方正仿宋_GB2312" w:cs="方正仿宋_GB2312"/>
          <w:b w:val="0"/>
          <w:bCs w:val="0"/>
          <w:sz w:val="28"/>
          <w:szCs w:val="28"/>
          <w:highlight w:val="none"/>
          <w:u w:val="single"/>
          <w:lang w:val="en-US" w:eastAsia="zh-CN"/>
        </w:rPr>
        <w:t xml:space="preserve">       </w:t>
      </w:r>
      <w:r>
        <w:rPr>
          <w:rFonts w:hint="eastAsia" w:ascii="方正仿宋_GB2312" w:hAnsi="方正仿宋_GB2312" w:eastAsia="方正仿宋_GB2312" w:cs="方正仿宋_GB2312"/>
          <w:b w:val="0"/>
          <w:bCs w:val="0"/>
          <w:sz w:val="28"/>
          <w:szCs w:val="28"/>
          <w:highlight w:val="none"/>
          <w:u w:val="none"/>
          <w:lang w:eastAsia="zh-CN"/>
        </w:rPr>
        <w:t>元）。甲方负有积极向终端单位开展款项催收的义务，不得无故怠于催收。若甲方无正当理由怠于履行催收义务超过</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30</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none"/>
          <w:lang w:eastAsia="zh-CN"/>
        </w:rPr>
        <w:t>日的，乙方有权</w:t>
      </w:r>
      <w:r>
        <w:rPr>
          <w:rFonts w:hint="eastAsia" w:ascii="方正仿宋_GB2312" w:hAnsi="方正仿宋_GB2312" w:eastAsia="方正仿宋_GB2312" w:cs="方正仿宋_GB2312"/>
          <w:b w:val="0"/>
          <w:bCs w:val="0"/>
          <w:sz w:val="28"/>
          <w:szCs w:val="28"/>
          <w:highlight w:val="none"/>
          <w:u w:val="none"/>
          <w:lang w:val="en-US" w:eastAsia="zh-CN"/>
        </w:rPr>
        <w:t>收回设备所有权，甲方需赔偿设备使用期间乙方产生的合理费用，乙方取回设备应当提前</w:t>
      </w:r>
      <w:r>
        <w:rPr>
          <w:rFonts w:hint="eastAsia" w:ascii="方正仿宋_GB2312" w:hAnsi="方正仿宋_GB2312" w:eastAsia="方正仿宋_GB2312" w:cs="方正仿宋_GB2312"/>
          <w:b w:val="0"/>
          <w:bCs w:val="0"/>
          <w:sz w:val="28"/>
          <w:szCs w:val="28"/>
          <w:highlight w:val="none"/>
          <w:u w:val="single"/>
          <w:lang w:val="en-US" w:eastAsia="zh-CN"/>
        </w:rPr>
        <w:t xml:space="preserve"> 15 </w:t>
      </w:r>
      <w:r>
        <w:rPr>
          <w:rFonts w:hint="eastAsia" w:ascii="方正仿宋_GB2312" w:hAnsi="方正仿宋_GB2312" w:eastAsia="方正仿宋_GB2312" w:cs="方正仿宋_GB2312"/>
          <w:b w:val="0"/>
          <w:bCs w:val="0"/>
          <w:sz w:val="28"/>
          <w:szCs w:val="28"/>
          <w:highlight w:val="none"/>
          <w:u w:val="none"/>
          <w:lang w:val="en-US" w:eastAsia="zh-CN"/>
        </w:rPr>
        <w:t>个工作日书面通知甲方</w:t>
      </w:r>
      <w:r>
        <w:rPr>
          <w:rFonts w:hint="eastAsia" w:ascii="方正仿宋_GB2312" w:hAnsi="方正仿宋_GB2312" w:eastAsia="方正仿宋_GB2312" w:cs="方正仿宋_GB2312"/>
          <w:b w:val="0"/>
          <w:bCs w:val="0"/>
          <w:sz w:val="28"/>
          <w:szCs w:val="28"/>
          <w:highlight w:val="none"/>
          <w:u w:val="none"/>
          <w:lang w:eastAsia="zh-CN"/>
        </w:rPr>
        <w:t>。</w:t>
      </w:r>
    </w:p>
    <w:p w14:paraId="74633EEA">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b/>
          <w:bCs/>
          <w:sz w:val="28"/>
          <w:szCs w:val="28"/>
          <w:highlight w:val="none"/>
          <w:u w:val="none"/>
          <w:lang w:eastAsia="zh-CN"/>
        </w:rPr>
        <w:t>发票开具：</w:t>
      </w:r>
      <w:r>
        <w:rPr>
          <w:rFonts w:hint="eastAsia" w:ascii="方正仿宋_GB2312" w:hAnsi="方正仿宋_GB2312" w:eastAsia="方正仿宋_GB2312" w:cs="方正仿宋_GB2312"/>
          <w:b w:val="0"/>
          <w:bCs w:val="0"/>
          <w:sz w:val="28"/>
          <w:szCs w:val="28"/>
          <w:highlight w:val="none"/>
          <w:u w:val="none"/>
          <w:lang w:eastAsia="zh-CN"/>
        </w:rPr>
        <w:t>乙方应当在甲方付款前，向甲方开具全额合法有效的</w:t>
      </w:r>
      <w:r>
        <w:rPr>
          <w:rFonts w:hint="eastAsia" w:ascii="方正仿宋_GB2312" w:hAnsi="方正仿宋_GB2312" w:eastAsia="方正仿宋_GB2312" w:cs="方正仿宋_GB2312"/>
          <w:b w:val="0"/>
          <w:bCs w:val="0"/>
          <w:color w:val="auto"/>
          <w:sz w:val="28"/>
          <w:szCs w:val="28"/>
          <w:highlight w:val="none"/>
          <w:u w:val="none"/>
          <w:lang w:val="en-US" w:eastAsia="zh-CN"/>
        </w:rPr>
        <w:t>13%</w:t>
      </w:r>
      <w:r>
        <w:rPr>
          <w:rFonts w:hint="eastAsia" w:ascii="方正仿宋_GB2312" w:hAnsi="方正仿宋_GB2312" w:eastAsia="方正仿宋_GB2312" w:cs="方正仿宋_GB2312"/>
          <w:b w:val="0"/>
          <w:bCs w:val="0"/>
          <w:color w:val="auto"/>
          <w:sz w:val="28"/>
          <w:szCs w:val="28"/>
          <w:highlight w:val="none"/>
          <w:u w:val="none"/>
          <w:lang w:eastAsia="zh-CN"/>
        </w:rPr>
        <w:t>增值税专用发票</w:t>
      </w:r>
      <w:r>
        <w:rPr>
          <w:rFonts w:hint="eastAsia" w:ascii="方正仿宋_GB2312" w:hAnsi="方正仿宋_GB2312" w:eastAsia="方正仿宋_GB2312" w:cs="方正仿宋_GB2312"/>
          <w:b w:val="0"/>
          <w:bCs w:val="0"/>
          <w:sz w:val="28"/>
          <w:szCs w:val="28"/>
          <w:highlight w:val="none"/>
          <w:u w:val="none"/>
          <w:lang w:eastAsia="zh-CN"/>
        </w:rPr>
        <w:t>（以不违反税务法规和与采购进项一致为原则）。甲方付款以实际到达乙方银行账户为准，如乙方应甲方要求在付款前提前开具发票的，该开票行为不代表甲方已完成付款。</w:t>
      </w:r>
    </w:p>
    <w:p w14:paraId="7D34F819">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eastAsia="zh-CN"/>
        </w:rPr>
      </w:pPr>
      <w:r>
        <w:rPr>
          <w:rFonts w:hint="eastAsia" w:ascii="方正仿宋_GB2312" w:hAnsi="方正仿宋_GB2312" w:eastAsia="方正仿宋_GB2312" w:cs="方正仿宋_GB2312"/>
          <w:b w:val="0"/>
          <w:bCs w:val="0"/>
          <w:sz w:val="28"/>
          <w:szCs w:val="28"/>
          <w:highlight w:val="none"/>
          <w:u w:val="none"/>
          <w:lang w:eastAsia="zh-CN"/>
        </w:rPr>
        <w:t>产权归属：设备经现场验收合格，且甲方已履行完毕全部付款义务后，该设备所有权自动转移至甲方。在甲方付清全部款项前，该设备所有权归乙方所有。</w:t>
      </w:r>
    </w:p>
    <w:p w14:paraId="3A77F9A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b/>
          <w:bCs/>
          <w:sz w:val="28"/>
          <w:szCs w:val="28"/>
          <w:highlight w:val="none"/>
        </w:rPr>
      </w:pPr>
      <w:r>
        <w:rPr>
          <w:rFonts w:hint="eastAsia" w:ascii="方正仿宋_GB2312" w:hAnsi="方正仿宋_GB2312" w:eastAsia="方正仿宋_GB2312" w:cs="方正仿宋_GB2312"/>
          <w:b/>
          <w:bCs/>
          <w:sz w:val="28"/>
          <w:szCs w:val="28"/>
          <w:highlight w:val="none"/>
          <w:lang w:val="en-US" w:eastAsia="zh-CN"/>
        </w:rPr>
        <w:t>交付验收：</w:t>
      </w:r>
    </w:p>
    <w:p w14:paraId="5D919917">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sz w:val="28"/>
          <w:szCs w:val="28"/>
          <w:highlight w:val="none"/>
        </w:rPr>
        <w:t>甲方收到货物后应当在</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1</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rPr>
        <w:t>日内对货物进行</w:t>
      </w:r>
      <w:r>
        <w:rPr>
          <w:rFonts w:hint="eastAsia" w:ascii="方正仿宋_GB2312" w:hAnsi="方正仿宋_GB2312" w:eastAsia="方正仿宋_GB2312" w:cs="方正仿宋_GB2312"/>
          <w:sz w:val="28"/>
          <w:szCs w:val="28"/>
          <w:highlight w:val="none"/>
          <w:lang w:val="en-US" w:eastAsia="zh-CN"/>
        </w:rPr>
        <w:t>签收，</w:t>
      </w:r>
      <w:r>
        <w:rPr>
          <w:rFonts w:hint="eastAsia" w:ascii="方正仿宋_GB2312" w:hAnsi="方正仿宋_GB2312" w:eastAsia="方正仿宋_GB2312" w:cs="方正仿宋_GB2312"/>
          <w:sz w:val="28"/>
          <w:szCs w:val="28"/>
          <w:highlight w:val="none"/>
          <w:u w:val="none"/>
        </w:rPr>
        <w:t>如有异议，应以书面形式通知乙方。</w:t>
      </w:r>
    </w:p>
    <w:p w14:paraId="3787855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甲方（可组织终端使用单位共同参与）开展现场验收；</w:t>
      </w:r>
    </w:p>
    <w:p w14:paraId="65B41265">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验收标准：原厂说明书和企业技术标准；除无人机、无人机场硬件验收外，同时包含：</w:t>
      </w:r>
    </w:p>
    <w:p w14:paraId="14608F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①多光谱相机硬件功能、成像采集功能；</w:t>
      </w:r>
    </w:p>
    <w:p w14:paraId="02A68F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②长光禹辰多光谱专用飞控平台软件部署安装、参数配置；</w:t>
      </w:r>
    </w:p>
    <w:p w14:paraId="3E6098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③无人机—无人机场—多光谱—管理平台整套系统联调测试，可正常完成农业遥感监测作业；</w:t>
      </w:r>
    </w:p>
    <w:p w14:paraId="01AB76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同时满足终端单位实际使用及无人机监管备案要求。</w:t>
      </w:r>
    </w:p>
    <w:p w14:paraId="2D3DDA6C">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验收合格的，双方签署《设备验收报告》；若设备存在质量、数量不符合约定情形，甲方有权提出书面异议，乙方应在收到异议后【7】日历天内完成更换、维修、软件调试整改，直至验收合格；整改产生全部费用由乙方自行承担。</w:t>
      </w:r>
    </w:p>
    <w:p w14:paraId="11F19E5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货物到货仅做外观、数量清点，正式性能验收以硬件安装、平台软件部署、多光谱相机调试完成后的现场整体验收为准。到货清点仅核对包装、数量，不视为整套平台质量合格。</w:t>
      </w:r>
    </w:p>
    <w:p w14:paraId="741EE80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乙方负责本合同项下无人机机场、无人机、多光谱相机、管理平台全套软硬件的免费安装、部署、调试及系统联调工作，该工作包含在本合同总价款之内，甲方无需另行支付安装调试相关费用。</w:t>
      </w:r>
    </w:p>
    <w:p w14:paraId="5F1BC7B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b/>
          <w:bCs/>
          <w:sz w:val="28"/>
          <w:szCs w:val="28"/>
          <w:highlight w:val="none"/>
          <w:u w:val="none"/>
        </w:rPr>
        <w:t>技术培训</w:t>
      </w:r>
      <w:r>
        <w:rPr>
          <w:rFonts w:hint="eastAsia" w:ascii="方正仿宋_GB2312" w:hAnsi="方正仿宋_GB2312" w:eastAsia="方正仿宋_GB2312" w:cs="方正仿宋_GB2312"/>
          <w:b/>
          <w:bCs/>
          <w:sz w:val="28"/>
          <w:szCs w:val="28"/>
          <w:highlight w:val="none"/>
          <w:u w:val="none"/>
          <w:lang w:eastAsia="zh-CN"/>
        </w:rPr>
        <w:t>：</w:t>
      </w:r>
      <w:r>
        <w:rPr>
          <w:rFonts w:hint="eastAsia" w:ascii="方正仿宋_GB2312" w:hAnsi="方正仿宋_GB2312" w:eastAsia="方正仿宋_GB2312" w:cs="方正仿宋_GB2312"/>
          <w:sz w:val="28"/>
          <w:szCs w:val="28"/>
          <w:highlight w:val="none"/>
          <w:lang w:val="en-US" w:eastAsia="zh-CN"/>
        </w:rPr>
        <w:t>乙方免费提供一次完整现场操作培训，培训对象包含甲方及终端使用单位操作人员；培训内容除无人机、无人机场基础操作保养维修故障排查外，增加多光谱相机操作、参数设置、数据采集；管理平台操作、任务下发、数据查看导出等专项培训。同时长期提供电话、远程网络技术指导。</w:t>
      </w:r>
    </w:p>
    <w:p w14:paraId="1D2EAE2E">
      <w:pPr>
        <w:keepNext w:val="0"/>
        <w:keepLines w:val="0"/>
        <w:pageBreakBefore w:val="0"/>
        <w:widowControl w:val="0"/>
        <w:numPr>
          <w:ilvl w:val="0"/>
          <w:numId w:val="1"/>
        </w:numPr>
        <w:kinsoku/>
        <w:wordWrap w:val="0"/>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b/>
          <w:bCs/>
          <w:sz w:val="28"/>
          <w:szCs w:val="28"/>
          <w:highlight w:val="none"/>
        </w:rPr>
        <w:t>保修、维修服务</w:t>
      </w:r>
      <w:r>
        <w:rPr>
          <w:rFonts w:hint="eastAsia" w:ascii="方正仿宋_GB2312" w:hAnsi="方正仿宋_GB2312" w:eastAsia="方正仿宋_GB2312" w:cs="方正仿宋_GB2312"/>
          <w:b/>
          <w:bCs/>
          <w:sz w:val="28"/>
          <w:szCs w:val="28"/>
          <w:highlight w:val="none"/>
          <w:lang w:eastAsia="zh-CN"/>
        </w:rPr>
        <w:t>：</w:t>
      </w:r>
    </w:p>
    <w:p w14:paraId="6A7D0A6E">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sz w:val="28"/>
          <w:szCs w:val="28"/>
          <w:highlight w:val="none"/>
          <w:u w:val="none"/>
        </w:rPr>
        <w:t>主机保修期：自整套平台现场验收合格之日起12个月</w:t>
      </w:r>
      <w:r>
        <w:rPr>
          <w:rFonts w:hint="eastAsia" w:ascii="方正仿宋_GB2312" w:hAnsi="方正仿宋_GB2312" w:eastAsia="方正仿宋_GB2312" w:cs="方正仿宋_GB2312"/>
          <w:sz w:val="28"/>
          <w:szCs w:val="28"/>
          <w:highlight w:val="none"/>
          <w:u w:val="none"/>
          <w:lang w:eastAsia="zh-CN"/>
        </w:rPr>
        <w:t>；</w:t>
      </w:r>
    </w:p>
    <w:p w14:paraId="6123F82E">
      <w:pPr>
        <w:keepNext w:val="0"/>
        <w:keepLines w:val="0"/>
        <w:pageBreakBefore w:val="0"/>
        <w:widowControl w:val="0"/>
        <w:numPr>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sz w:val="28"/>
          <w:szCs w:val="28"/>
          <w:highlight w:val="none"/>
          <w:u w:val="none"/>
        </w:rPr>
        <w:t>硬件：无人机、无人机场、电池、增强图传模块、VD200多光谱相机，保修期内因产品本身质量问题发生故障，乙方免费维修或者更换零部件/整机；</w:t>
      </w:r>
    </w:p>
    <w:p w14:paraId="388B83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sz w:val="28"/>
          <w:szCs w:val="28"/>
          <w:highlight w:val="none"/>
          <w:u w:val="none"/>
        </w:rPr>
        <w:t>软件：长光禹辰多光谱专用飞控平台，质保期内提供免费</w:t>
      </w:r>
      <w:r>
        <w:rPr>
          <w:rFonts w:hint="eastAsia" w:ascii="方正仿宋_GB2312" w:hAnsi="方正仿宋_GB2312" w:eastAsia="方正仿宋_GB2312" w:cs="方正仿宋_GB2312"/>
          <w:sz w:val="28"/>
          <w:szCs w:val="28"/>
          <w:highlight w:val="none"/>
          <w:u w:val="none"/>
          <w:lang w:eastAsia="zh-CN"/>
        </w:rPr>
        <w:t>程序缺陷</w:t>
      </w:r>
      <w:r>
        <w:rPr>
          <w:rFonts w:hint="eastAsia" w:ascii="方正仿宋_GB2312" w:hAnsi="方正仿宋_GB2312" w:eastAsia="方正仿宋_GB2312" w:cs="方正仿宋_GB2312"/>
          <w:sz w:val="28"/>
          <w:szCs w:val="28"/>
          <w:highlight w:val="none"/>
          <w:u w:val="none"/>
        </w:rPr>
        <w:t>修复、远程配置维护；</w:t>
      </w:r>
    </w:p>
    <w:p w14:paraId="337EA6AD">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sz w:val="28"/>
          <w:szCs w:val="28"/>
          <w:highlight w:val="none"/>
          <w:u w:val="none"/>
        </w:rPr>
        <w:t>因甲方或终端用户人为操作不当、保管不善、外力损坏造成故障，不在免费保修范围，乙方可提供维修服务，费用由甲方承担。乙方也不承担设备本身质量以外，任何因使用不当所引起的责任。</w:t>
      </w:r>
    </w:p>
    <w:p w14:paraId="1965C0D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sz w:val="28"/>
          <w:szCs w:val="28"/>
          <w:highlight w:val="none"/>
          <w:u w:val="none"/>
          <w:lang w:val="en-US" w:eastAsia="zh-CN"/>
        </w:rPr>
        <w:t>乙方应在</w:t>
      </w:r>
      <w:r>
        <w:rPr>
          <w:rFonts w:hint="eastAsia" w:ascii="方正仿宋_GB2312" w:hAnsi="方正仿宋_GB2312" w:eastAsia="方正仿宋_GB2312" w:cs="方正仿宋_GB2312"/>
          <w:sz w:val="28"/>
          <w:szCs w:val="28"/>
          <w:highlight w:val="none"/>
          <w:u w:val="none"/>
        </w:rPr>
        <w:t>接到甲方故障报修后，【2】小时内响应，远程无法解决的，乙方应自接到报修之时起【48】小时内派员到达项目现场</w:t>
      </w:r>
      <w:r>
        <w:rPr>
          <w:rFonts w:hint="eastAsia" w:ascii="方正仿宋_GB2312" w:hAnsi="方正仿宋_GB2312" w:eastAsia="方正仿宋_GB2312" w:cs="方正仿宋_GB2312"/>
          <w:sz w:val="28"/>
          <w:szCs w:val="28"/>
          <w:highlight w:val="none"/>
          <w:u w:val="none"/>
          <w:lang w:val="en-US" w:eastAsia="zh-CN"/>
        </w:rPr>
        <w:t>开展</w:t>
      </w:r>
      <w:r>
        <w:rPr>
          <w:rFonts w:hint="eastAsia" w:ascii="方正仿宋_GB2312" w:hAnsi="方正仿宋_GB2312" w:eastAsia="方正仿宋_GB2312" w:cs="方正仿宋_GB2312"/>
          <w:sz w:val="28"/>
          <w:szCs w:val="28"/>
          <w:highlight w:val="none"/>
          <w:u w:val="none"/>
        </w:rPr>
        <w:t>处置</w:t>
      </w:r>
      <w:r>
        <w:rPr>
          <w:rFonts w:hint="eastAsia" w:ascii="方正仿宋_GB2312" w:hAnsi="方正仿宋_GB2312" w:eastAsia="方正仿宋_GB2312" w:cs="方正仿宋_GB2312"/>
          <w:sz w:val="28"/>
          <w:szCs w:val="28"/>
          <w:highlight w:val="none"/>
          <w:u w:val="none"/>
          <w:lang w:val="en-US" w:eastAsia="zh-CN"/>
        </w:rPr>
        <w:t>工作</w:t>
      </w:r>
      <w:r>
        <w:rPr>
          <w:rFonts w:hint="eastAsia" w:ascii="方正仿宋_GB2312" w:hAnsi="方正仿宋_GB2312" w:eastAsia="方正仿宋_GB2312" w:cs="方正仿宋_GB2312"/>
          <w:sz w:val="28"/>
          <w:szCs w:val="28"/>
          <w:highlight w:val="none"/>
          <w:u w:val="none"/>
        </w:rPr>
        <w:t>。</w:t>
      </w:r>
    </w:p>
    <w:p w14:paraId="7574A9DA">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rPr>
      </w:pPr>
      <w:r>
        <w:rPr>
          <w:rFonts w:hint="eastAsia" w:ascii="方正仿宋_GB2312" w:hAnsi="方正仿宋_GB2312" w:eastAsia="方正仿宋_GB2312" w:cs="方正仿宋_GB2312"/>
          <w:sz w:val="28"/>
          <w:szCs w:val="28"/>
          <w:highlight w:val="none"/>
          <w:u w:val="none"/>
        </w:rPr>
        <w:t>大疆官网CARE服务细则仅作参考，长光禹辰原厂服务说明亦仅作参考，本合同项下全部软硬件保修权利义务以本合同正文约定为准；官网后续版本更新、修改，不改变本合同双方权利义务。</w:t>
      </w:r>
    </w:p>
    <w:p w14:paraId="5320316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b/>
          <w:bCs/>
          <w:color w:val="000000"/>
          <w:kern w:val="0"/>
          <w:sz w:val="28"/>
          <w:szCs w:val="28"/>
          <w:highlight w:val="none"/>
          <w:lang w:val="en-US" w:eastAsia="zh-CN" w:bidi="ar"/>
        </w:rPr>
        <w:t>资料要求：</w:t>
      </w:r>
    </w:p>
    <w:p w14:paraId="179901FC">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lang w:val="en-US" w:eastAsia="zh-CN"/>
        </w:rPr>
      </w:pPr>
      <w:r>
        <w:rPr>
          <w:rFonts w:hint="eastAsia" w:ascii="方正仿宋_GB2312" w:hAnsi="方正仿宋_GB2312" w:eastAsia="方正仿宋_GB2312" w:cs="方正仿宋_GB2312"/>
          <w:sz w:val="28"/>
          <w:szCs w:val="28"/>
          <w:highlight w:val="none"/>
          <w:u w:val="none"/>
          <w:lang w:val="en-US" w:eastAsia="zh-CN"/>
        </w:rPr>
        <w:t>乙方如需甲方提供本项目相关合同链路、发票链路资料，应当向甲方出具明确的书面或电子资料清单，列明文件名称、用途。甲方在收到乙方清单后3个工作日内，提供甲方现有的合法有效的资料。合同链路资料包括但不限于中标通知书、采购合同、货物交付确认所需文件等。</w:t>
      </w:r>
    </w:p>
    <w:p w14:paraId="49C09D9A">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lang w:val="en-US" w:eastAsia="zh-CN"/>
        </w:rPr>
      </w:pPr>
      <w:r>
        <w:rPr>
          <w:rFonts w:hint="eastAsia" w:ascii="方正仿宋_GB2312" w:hAnsi="方正仿宋_GB2312" w:eastAsia="方正仿宋_GB2312" w:cs="方正仿宋_GB2312"/>
          <w:sz w:val="28"/>
          <w:szCs w:val="28"/>
          <w:highlight w:val="none"/>
          <w:u w:val="none"/>
          <w:lang w:val="en-US" w:eastAsia="zh-CN"/>
        </w:rPr>
        <w:t>甲方所提供的发票应是符合国家税收法律法规规定的合法、有效且完整的增值税发票，并且该发票不得为红字冲销发票（即冲红发票）。</w:t>
      </w:r>
    </w:p>
    <w:p w14:paraId="796EF77D">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lang w:val="en-US" w:eastAsia="zh-CN"/>
        </w:rPr>
      </w:pPr>
      <w:r>
        <w:rPr>
          <w:rFonts w:hint="eastAsia" w:ascii="方正仿宋_GB2312" w:hAnsi="方正仿宋_GB2312" w:eastAsia="方正仿宋_GB2312" w:cs="方正仿宋_GB2312"/>
          <w:sz w:val="28"/>
          <w:szCs w:val="28"/>
          <w:highlight w:val="none"/>
          <w:u w:val="none"/>
          <w:lang w:val="en-US" w:eastAsia="zh-CN"/>
        </w:rPr>
        <w:t>乙方收到甲方提交资料后，应于</w:t>
      </w:r>
      <w:r>
        <w:rPr>
          <w:rFonts w:hint="eastAsia" w:ascii="方正仿宋_GB2312" w:hAnsi="方正仿宋_GB2312" w:eastAsia="方正仿宋_GB2312" w:cs="方正仿宋_GB2312"/>
          <w:sz w:val="28"/>
          <w:szCs w:val="28"/>
          <w:highlight w:val="none"/>
          <w:u w:val="single"/>
          <w:lang w:val="en-US" w:eastAsia="zh-CN"/>
        </w:rPr>
        <w:t xml:space="preserve"> 5 </w:t>
      </w:r>
      <w:r>
        <w:rPr>
          <w:rFonts w:hint="eastAsia" w:ascii="方正仿宋_GB2312" w:hAnsi="方正仿宋_GB2312" w:eastAsia="方正仿宋_GB2312" w:cs="方正仿宋_GB2312"/>
          <w:sz w:val="28"/>
          <w:szCs w:val="28"/>
          <w:highlight w:val="none"/>
          <w:u w:val="none"/>
          <w:lang w:val="en-US" w:eastAsia="zh-CN"/>
        </w:rPr>
        <w:t>个工作日内书面反馈审核结果；逾期未反馈，视为甲方提交资料已满足乙方业务要求，乙方不得再以资料问题拒绝、拖延供货及履行合同义务。</w:t>
      </w:r>
    </w:p>
    <w:p w14:paraId="5B6E7A06">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lang w:val="en-US" w:eastAsia="zh-CN"/>
        </w:rPr>
      </w:pPr>
      <w:r>
        <w:rPr>
          <w:rFonts w:hint="eastAsia" w:ascii="方正仿宋_GB2312" w:hAnsi="方正仿宋_GB2312" w:eastAsia="方正仿宋_GB2312" w:cs="方正仿宋_GB2312"/>
          <w:sz w:val="28"/>
          <w:szCs w:val="28"/>
          <w:highlight w:val="none"/>
          <w:u w:val="none"/>
          <w:lang w:val="en-US" w:eastAsia="zh-CN"/>
        </w:rPr>
        <w:t>乙方仅可将甲方提供的链路资料用于本项目采购审批，承担保密义务，不得挪作其他用途、不得向无关第三方泄露。因终端第三方客观原因部分文件无法提供，且甲方已尽合理配合义务的，不视为甲方违约，乙方不得据此拒绝履行合同或向甲方主张损失。</w:t>
      </w:r>
    </w:p>
    <w:p w14:paraId="1079F4AB">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u w:val="none"/>
          <w:lang w:val="en-US" w:eastAsia="zh-CN"/>
        </w:rPr>
      </w:pPr>
      <w:r>
        <w:rPr>
          <w:rFonts w:hint="eastAsia" w:ascii="方正仿宋_GB2312" w:hAnsi="方正仿宋_GB2312" w:eastAsia="方正仿宋_GB2312" w:cs="方正仿宋_GB2312"/>
          <w:sz w:val="28"/>
          <w:szCs w:val="28"/>
          <w:highlight w:val="none"/>
          <w:u w:val="none"/>
          <w:lang w:val="en-US" w:eastAsia="zh-CN"/>
        </w:rPr>
        <w:t>仅因甲方故意隐瞒、提交虚假资料，导致乙方无法下单、履行合同产生损失的，全部责任由甲方承担，乙方可根据实际损失情况向甲方追偿。</w:t>
      </w:r>
    </w:p>
    <w:p w14:paraId="31458109">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方正仿宋_GB2312" w:hAnsi="方正仿宋_GB2312" w:eastAsia="方正仿宋_GB2312" w:cs="方正仿宋_GB2312"/>
          <w:b/>
          <w:bCs/>
          <w:sz w:val="28"/>
          <w:szCs w:val="28"/>
          <w:highlight w:val="none"/>
        </w:rPr>
      </w:pPr>
      <w:r>
        <w:rPr>
          <w:rFonts w:hint="eastAsia" w:ascii="方正仿宋_GB2312" w:hAnsi="方正仿宋_GB2312" w:eastAsia="方正仿宋_GB2312" w:cs="方正仿宋_GB2312"/>
          <w:b/>
          <w:bCs/>
          <w:sz w:val="28"/>
          <w:szCs w:val="28"/>
          <w:highlight w:val="none"/>
        </w:rPr>
        <w:t>甲乙双方的权利与义务</w:t>
      </w:r>
    </w:p>
    <w:p w14:paraId="16CC3B43">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bCs/>
          <w:sz w:val="28"/>
          <w:szCs w:val="28"/>
          <w:highlight w:val="none"/>
          <w:u w:val="none"/>
          <w:lang w:val="en-US" w:eastAsia="zh-CN"/>
        </w:rPr>
      </w:pPr>
      <w:r>
        <w:rPr>
          <w:rFonts w:hint="eastAsia" w:ascii="方正仿宋_GB2312" w:hAnsi="方正仿宋_GB2312" w:eastAsia="方正仿宋_GB2312" w:cs="方正仿宋_GB2312"/>
          <w:b/>
          <w:bCs/>
          <w:sz w:val="28"/>
          <w:szCs w:val="28"/>
          <w:highlight w:val="none"/>
          <w:u w:val="none"/>
          <w:lang w:val="en-US" w:eastAsia="zh-CN"/>
        </w:rPr>
        <w:t>甲方的权利和义务：</w:t>
      </w:r>
    </w:p>
    <w:p w14:paraId="10395FC2">
      <w:pPr>
        <w:pStyle w:val="10"/>
        <w:keepNext w:val="0"/>
        <w:keepLines w:val="0"/>
        <w:pageBreakBefore w:val="0"/>
        <w:widowControl w:val="0"/>
        <w:numPr>
          <w:ilvl w:val="0"/>
          <w:numId w:val="9"/>
        </w:numPr>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在乙方开展技术支持及安装调试、软件部署工作期间，甲方应当为乙方提供必要的工作场所、网络条件和工具；施工结束时，乙方配合甲方进行验收。</w:t>
      </w:r>
    </w:p>
    <w:p w14:paraId="19ACE8BE">
      <w:pPr>
        <w:pStyle w:val="10"/>
        <w:keepNext w:val="0"/>
        <w:keepLines w:val="0"/>
        <w:pageBreakBefore w:val="0"/>
        <w:widowControl w:val="0"/>
        <w:numPr>
          <w:ilvl w:val="0"/>
          <w:numId w:val="9"/>
        </w:numPr>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甲方若不向乙方提供正确无误的收货信息，若造成货物发错，丢失的由甲方负责。</w:t>
      </w:r>
    </w:p>
    <w:p w14:paraId="296D49D7">
      <w:pPr>
        <w:pStyle w:val="10"/>
        <w:keepNext w:val="0"/>
        <w:keepLines w:val="0"/>
        <w:pageBreakBefore w:val="0"/>
        <w:widowControl w:val="0"/>
        <w:numPr>
          <w:ilvl w:val="0"/>
          <w:numId w:val="9"/>
        </w:numPr>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甲方必须按合同规定的付款方式及时付款。</w:t>
      </w:r>
    </w:p>
    <w:p w14:paraId="7FABE044">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bCs/>
          <w:sz w:val="28"/>
          <w:szCs w:val="28"/>
          <w:highlight w:val="none"/>
          <w:u w:val="none"/>
          <w:lang w:val="en-US" w:eastAsia="zh-CN"/>
        </w:rPr>
      </w:pPr>
      <w:r>
        <w:rPr>
          <w:rFonts w:hint="eastAsia" w:ascii="方正仿宋_GB2312" w:hAnsi="方正仿宋_GB2312" w:eastAsia="方正仿宋_GB2312" w:cs="方正仿宋_GB2312"/>
          <w:b/>
          <w:bCs/>
          <w:sz w:val="28"/>
          <w:szCs w:val="28"/>
          <w:highlight w:val="none"/>
          <w:u w:val="none"/>
          <w:lang w:val="en-US" w:eastAsia="zh-CN"/>
        </w:rPr>
        <w:t>乙方的权利和义务：</w:t>
      </w:r>
    </w:p>
    <w:p w14:paraId="02272C72">
      <w:pPr>
        <w:pStyle w:val="10"/>
        <w:keepNext w:val="0"/>
        <w:keepLines w:val="0"/>
        <w:pageBreakBefore w:val="0"/>
        <w:widowControl w:val="0"/>
        <w:numPr>
          <w:ilvl w:val="0"/>
          <w:numId w:val="10"/>
        </w:numPr>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乙方承诺所提供的全部硬件产品均为生产厂家原装正品；管理平台提供合法有效授权，按合同约定提供质保。</w:t>
      </w:r>
    </w:p>
    <w:p w14:paraId="37FFBB63">
      <w:pPr>
        <w:pStyle w:val="10"/>
        <w:keepNext w:val="0"/>
        <w:keepLines w:val="0"/>
        <w:pageBreakBefore w:val="0"/>
        <w:widowControl w:val="0"/>
        <w:numPr>
          <w:ilvl w:val="0"/>
          <w:numId w:val="10"/>
        </w:numPr>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乙方按合同规定，在为甲方进行技术支持、软硬件安装部署调试过程中要选择合适的施工程序，合理安排施工计划，并及时向甲方递交工程进度计划，施工结束时及时提交书面形式的验收报告，经甲方签字后生效。</w:t>
      </w:r>
    </w:p>
    <w:p w14:paraId="6B9E3E92">
      <w:pPr>
        <w:pStyle w:val="10"/>
        <w:keepNext w:val="0"/>
        <w:keepLines w:val="0"/>
        <w:pageBreakBefore w:val="0"/>
        <w:widowControl w:val="0"/>
        <w:numPr>
          <w:ilvl w:val="0"/>
          <w:numId w:val="10"/>
        </w:numPr>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方正仿宋_GB2312" w:hAnsi="方正仿宋_GB2312" w:eastAsia="方正仿宋_GB2312" w:cs="方正仿宋_GB2312"/>
          <w:color w:val="000000"/>
          <w:kern w:val="0"/>
          <w:sz w:val="28"/>
          <w:szCs w:val="28"/>
          <w:highlight w:val="none"/>
          <w:lang w:val="en-US" w:eastAsia="zh-CN" w:bidi="ar"/>
        </w:rPr>
      </w:pPr>
      <w:r>
        <w:rPr>
          <w:rFonts w:hint="eastAsia" w:ascii="方正仿宋_GB2312" w:hAnsi="方正仿宋_GB2312" w:eastAsia="方正仿宋_GB2312" w:cs="方正仿宋_GB2312"/>
          <w:kern w:val="2"/>
          <w:sz w:val="28"/>
          <w:szCs w:val="28"/>
          <w:highlight w:val="none"/>
          <w:lang w:val="en-US" w:eastAsia="zh-CN" w:bidi="ar-SA"/>
        </w:rPr>
        <w:t>乙方需按合同要求准时交货，如果不能按时交货，因此给甲方造成的工程延误由乙方负责赔偿全部的损失。</w:t>
      </w:r>
    </w:p>
    <w:p w14:paraId="5998B8D6">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方正仿宋_GB2312" w:hAnsi="方正仿宋_GB2312" w:eastAsia="方正仿宋_GB2312" w:cs="方正仿宋_GB2312"/>
          <w:b/>
          <w:bCs/>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甲方承诺：</w:t>
      </w:r>
    </w:p>
    <w:p w14:paraId="5DB790FA">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甲方承诺遵守商务部、海关总署、国家国防科工局、中央军委装备发展部公告2023年第28号关于对部分无人机实施临时出口管制的公告。且遵守大疆创新、长光禹辰相关使用条款。</w:t>
      </w:r>
    </w:p>
    <w:p w14:paraId="253FE201">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如甲方违法使用无人机、多光谱采集设备及管理平台，所产生的法律后果由甲方全部承担，并赔偿乙方由此造成的全部经济损失。但因乙方设备本身硬件缺陷、平台软件本身程序缺陷导致违法飞行后果除外。</w:t>
      </w:r>
    </w:p>
    <w:p w14:paraId="185D4DB2">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方正仿宋_GB2312" w:hAnsi="方正仿宋_GB2312" w:eastAsia="方正仿宋_GB2312" w:cs="方正仿宋_GB2312"/>
          <w:b/>
          <w:bCs/>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不可抗力：</w:t>
      </w:r>
    </w:p>
    <w:p w14:paraId="2FF80C2E">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甲乙双方的任何一方由于一般公认的不可抗力事件原因，（如战争、地震、水灾、暴风雨、雪灾等）以及双方同意的其他不可抗力事件而不能履行或者不能完全履行合同时，应立即以最快（电话）方式通知对方，并在</w:t>
      </w:r>
      <w:r>
        <w:rPr>
          <w:rFonts w:hint="eastAsia" w:ascii="方正仿宋_GB2312" w:hAnsi="方正仿宋_GB2312" w:eastAsia="方正仿宋_GB2312" w:cs="方正仿宋_GB2312"/>
          <w:b w:val="0"/>
          <w:bCs w:val="0"/>
          <w:sz w:val="28"/>
          <w:szCs w:val="28"/>
          <w:highlight w:val="none"/>
          <w:u w:val="single"/>
          <w:lang w:val="en-US" w:eastAsia="zh-CN"/>
        </w:rPr>
        <w:t xml:space="preserve"> 14 </w:t>
      </w:r>
      <w:r>
        <w:rPr>
          <w:rFonts w:hint="eastAsia" w:ascii="方正仿宋_GB2312" w:hAnsi="方正仿宋_GB2312" w:eastAsia="方正仿宋_GB2312" w:cs="方正仿宋_GB2312"/>
          <w:b w:val="0"/>
          <w:bCs w:val="0"/>
          <w:sz w:val="28"/>
          <w:szCs w:val="28"/>
          <w:highlight w:val="none"/>
          <w:u w:val="none"/>
          <w:lang w:val="en-US" w:eastAsia="zh-CN"/>
        </w:rPr>
        <w:t>天内，给另一方寄一份事故发生地的有关政府或商会发出的证明文件证明事故的存在和真实性。</w:t>
      </w:r>
    </w:p>
    <w:p w14:paraId="244478D3">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为减轻可能给对方造成的损失，甲乙双方应通过友好协商尽快解决本合同的执行问题。不可抗力事件终止或被排除后，受阻方应继续履行本合同，并应立即通知另一方。</w:t>
      </w:r>
    </w:p>
    <w:p w14:paraId="4224097F">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方正仿宋_GB2312" w:hAnsi="方正仿宋_GB2312" w:eastAsia="方正仿宋_GB2312" w:cs="方正仿宋_GB2312"/>
          <w:b/>
          <w:bCs/>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保密义务：</w:t>
      </w:r>
    </w:p>
    <w:p w14:paraId="73440C6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甲乙双方都有义务对合作过程中所涉及的对方商务信息、商务决策或策略资料及数据等有价值内容予以保密，未经对方同意不得将有关信息以任何形式泄露给第三方。因违反</w:t>
      </w:r>
      <w:r>
        <w:rPr>
          <w:rFonts w:hint="eastAsia" w:ascii="方正仿宋_GB2312" w:hAnsi="方正仿宋_GB2312" w:eastAsia="方正仿宋_GB2312" w:cs="方正仿宋_GB2312"/>
          <w:sz w:val="28"/>
          <w:szCs w:val="28"/>
          <w:highlight w:val="none"/>
          <w:lang w:eastAsia="zh-CN"/>
        </w:rPr>
        <w:t>保密</w:t>
      </w:r>
      <w:r>
        <w:rPr>
          <w:rFonts w:hint="eastAsia" w:ascii="方正仿宋_GB2312" w:hAnsi="方正仿宋_GB2312" w:eastAsia="方正仿宋_GB2312" w:cs="方正仿宋_GB2312"/>
          <w:sz w:val="28"/>
          <w:szCs w:val="28"/>
          <w:highlight w:val="none"/>
        </w:rPr>
        <w:t>义务，造成对方损失的，由泄密方承担利益损失方的所有损失。</w:t>
      </w:r>
    </w:p>
    <w:p w14:paraId="13518992">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方正仿宋_GB2312" w:hAnsi="方正仿宋_GB2312" w:eastAsia="方正仿宋_GB2312" w:cs="方正仿宋_GB2312"/>
          <w:b/>
          <w:bCs/>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合同争议的解决：</w:t>
      </w:r>
    </w:p>
    <w:p w14:paraId="1B65ACB1">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凡与本合同有关而引起的一切争议，双方应首先通过友好协商解决。如经协商后仍不能达成协议时，任何一方均可以向甲方（需方）所在地人民法院提起诉讼。</w:t>
      </w:r>
    </w:p>
    <w:p w14:paraId="253C0C9F">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b w:val="0"/>
          <w:bCs w:val="0"/>
          <w:sz w:val="28"/>
          <w:szCs w:val="28"/>
          <w:highlight w:val="none"/>
          <w:u w:val="none"/>
          <w:lang w:val="en-US" w:eastAsia="zh-CN"/>
        </w:rPr>
        <w:t>法院判决对双方都有约束力。</w:t>
      </w:r>
    </w:p>
    <w:p w14:paraId="51218AB7">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方正仿宋_GB2312" w:hAnsi="方正仿宋_GB2312" w:eastAsia="方正仿宋_GB2312" w:cs="方正仿宋_GB2312"/>
          <w:b/>
          <w:bCs/>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合同生效：</w:t>
      </w:r>
    </w:p>
    <w:p w14:paraId="723CE0E6">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本合同经双方法定代表人或授权代表签字并加盖公章后自行生效。</w:t>
      </w:r>
    </w:p>
    <w:p w14:paraId="726274D8">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本合同所包括的附件，包括双方对未尽事宜以补充协议或技术文件形式的表述，是本合同不可分割的一部分，与合同具有同等的法律效力。</w:t>
      </w:r>
    </w:p>
    <w:p w14:paraId="417C3D6C">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Chars="0"/>
        <w:textAlignment w:val="auto"/>
        <w:rPr>
          <w:rFonts w:hint="eastAsia" w:ascii="方正仿宋_GB2312" w:hAnsi="方正仿宋_GB2312" w:eastAsia="方正仿宋_GB2312" w:cs="方正仿宋_GB2312"/>
          <w:b w:val="0"/>
          <w:bCs w:val="0"/>
          <w:sz w:val="28"/>
          <w:szCs w:val="28"/>
          <w:highlight w:val="none"/>
          <w:u w:val="none"/>
          <w:lang w:val="en-US" w:eastAsia="zh-CN"/>
        </w:rPr>
      </w:pPr>
      <w:r>
        <w:rPr>
          <w:rFonts w:hint="eastAsia" w:ascii="方正仿宋_GB2312" w:hAnsi="方正仿宋_GB2312" w:eastAsia="方正仿宋_GB2312" w:cs="方正仿宋_GB2312"/>
          <w:b w:val="0"/>
          <w:bCs w:val="0"/>
          <w:sz w:val="28"/>
          <w:szCs w:val="28"/>
          <w:highlight w:val="none"/>
          <w:u w:val="none"/>
          <w:lang w:val="en-US" w:eastAsia="zh-CN"/>
        </w:rPr>
        <w:t>本合同壹式贰份，甲乙双方各执</w:t>
      </w:r>
      <w:r>
        <w:rPr>
          <w:rFonts w:hint="eastAsia" w:ascii="方正仿宋_GB2312" w:hAnsi="方正仿宋_GB2312" w:eastAsia="方正仿宋_GB2312" w:cs="方正仿宋_GB2312"/>
          <w:b w:val="0"/>
          <w:bCs w:val="0"/>
          <w:sz w:val="28"/>
          <w:szCs w:val="28"/>
          <w:highlight w:val="none"/>
          <w:u w:val="single"/>
          <w:lang w:val="en-US" w:eastAsia="zh-CN"/>
        </w:rPr>
        <w:t xml:space="preserve"> 壹 </w:t>
      </w:r>
      <w:r>
        <w:rPr>
          <w:rFonts w:hint="eastAsia" w:ascii="方正仿宋_GB2312" w:hAnsi="方正仿宋_GB2312" w:eastAsia="方正仿宋_GB2312" w:cs="方正仿宋_GB2312"/>
          <w:b w:val="0"/>
          <w:bCs w:val="0"/>
          <w:sz w:val="28"/>
          <w:szCs w:val="28"/>
          <w:highlight w:val="none"/>
          <w:u w:val="none"/>
          <w:lang w:val="en-US" w:eastAsia="zh-CN"/>
        </w:rPr>
        <w:t>份，扫描件、传真件具有同等法律效力。</w:t>
      </w:r>
    </w:p>
    <w:p w14:paraId="75EE1DDA">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以下无正文</w:t>
      </w:r>
      <w:r>
        <w:rPr>
          <w:rFonts w:hint="eastAsia" w:ascii="方正仿宋_GB2312" w:hAnsi="方正仿宋_GB2312" w:eastAsia="方正仿宋_GB2312" w:cs="方正仿宋_GB2312"/>
          <w:sz w:val="28"/>
          <w:szCs w:val="28"/>
          <w:highlight w:val="none"/>
          <w:lang w:eastAsia="zh-CN"/>
        </w:rPr>
        <w:t>）</w:t>
      </w:r>
    </w:p>
    <w:p w14:paraId="5D9E3D41">
      <w:pPr>
        <w:keepNext w:val="0"/>
        <w:keepLines w:val="0"/>
        <w:pageBreakBefore w:val="0"/>
        <w:kinsoku/>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br w:type="page"/>
      </w:r>
    </w:p>
    <w:p w14:paraId="04AF8A7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（合同签字页）</w:t>
      </w:r>
    </w:p>
    <w:tbl>
      <w:tblPr>
        <w:tblStyle w:val="11"/>
        <w:tblW w:w="10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0"/>
        <w:gridCol w:w="5077"/>
      </w:tblGrid>
      <w:tr w14:paraId="0508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jc w:val="center"/>
        </w:trPr>
        <w:tc>
          <w:tcPr>
            <w:tcW w:w="5070" w:type="dxa"/>
            <w:tcBorders>
              <w:top w:val="single" w:color="auto" w:sz="4" w:space="0"/>
              <w:left w:val="single" w:color="auto" w:sz="4" w:space="0"/>
              <w:bottom w:val="single" w:color="auto" w:sz="4" w:space="0"/>
              <w:right w:val="single" w:color="auto" w:sz="4" w:space="0"/>
            </w:tcBorders>
            <w:vAlign w:val="center"/>
          </w:tcPr>
          <w:p w14:paraId="5FB3D70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需方：</w:t>
            </w:r>
          </w:p>
          <w:p w14:paraId="15DB955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签字：</w:t>
            </w:r>
          </w:p>
        </w:tc>
        <w:tc>
          <w:tcPr>
            <w:tcW w:w="5077" w:type="dxa"/>
            <w:tcBorders>
              <w:top w:val="single" w:color="auto" w:sz="4" w:space="0"/>
              <w:left w:val="single" w:color="auto" w:sz="4" w:space="0"/>
              <w:bottom w:val="single" w:color="auto" w:sz="4" w:space="0"/>
              <w:right w:val="single" w:color="auto" w:sz="4" w:space="0"/>
            </w:tcBorders>
            <w:vAlign w:val="center"/>
          </w:tcPr>
          <w:p w14:paraId="35F4D4F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 xml:space="preserve">供方： </w:t>
            </w:r>
          </w:p>
          <w:p w14:paraId="12E2D06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签字：</w:t>
            </w:r>
          </w:p>
        </w:tc>
      </w:tr>
      <w:tr w14:paraId="7688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70" w:type="dxa"/>
            <w:tcBorders>
              <w:top w:val="single" w:color="auto" w:sz="4" w:space="0"/>
              <w:left w:val="single" w:color="auto" w:sz="4" w:space="0"/>
              <w:bottom w:val="single" w:color="auto" w:sz="4" w:space="0"/>
              <w:right w:val="single" w:color="auto" w:sz="4" w:space="0"/>
            </w:tcBorders>
            <w:vAlign w:val="center"/>
          </w:tcPr>
          <w:p w14:paraId="2F96245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日 期：       年      月      日</w:t>
            </w:r>
          </w:p>
        </w:tc>
        <w:tc>
          <w:tcPr>
            <w:tcW w:w="5077" w:type="dxa"/>
            <w:tcBorders>
              <w:top w:val="single" w:color="auto" w:sz="4" w:space="0"/>
              <w:left w:val="single" w:color="auto" w:sz="4" w:space="0"/>
              <w:bottom w:val="single" w:color="auto" w:sz="4" w:space="0"/>
              <w:right w:val="single" w:color="auto" w:sz="4" w:space="0"/>
            </w:tcBorders>
            <w:vAlign w:val="center"/>
          </w:tcPr>
          <w:p w14:paraId="6CF19B8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日 期：</w:t>
            </w:r>
            <w:r>
              <w:rPr>
                <w:rFonts w:hint="eastAsia" w:ascii="方正仿宋_GB2312" w:hAnsi="方正仿宋_GB2312" w:eastAsia="方正仿宋_GB2312" w:cs="方正仿宋_GB2312"/>
                <w:sz w:val="28"/>
                <w:szCs w:val="28"/>
                <w:highlight w:val="none"/>
                <w:lang w:val="en-US" w:eastAsia="zh-CN"/>
              </w:rPr>
              <w:t xml:space="preserve">    年    </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 xml:space="preserve">     </w:t>
            </w:r>
            <w:r>
              <w:rPr>
                <w:rFonts w:hint="eastAsia" w:ascii="方正仿宋_GB2312" w:hAnsi="方正仿宋_GB2312" w:eastAsia="方正仿宋_GB2312" w:cs="方正仿宋_GB2312"/>
                <w:sz w:val="28"/>
                <w:szCs w:val="28"/>
                <w:highlight w:val="none"/>
              </w:rPr>
              <w:t>日</w:t>
            </w:r>
          </w:p>
        </w:tc>
      </w:tr>
      <w:tr w14:paraId="499C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70" w:type="dxa"/>
            <w:tcBorders>
              <w:top w:val="single" w:color="auto" w:sz="4" w:space="0"/>
              <w:left w:val="single" w:color="auto" w:sz="4" w:space="0"/>
              <w:bottom w:val="single" w:color="auto" w:sz="4" w:space="0"/>
              <w:right w:val="single" w:color="auto" w:sz="4" w:space="0"/>
            </w:tcBorders>
            <w:vAlign w:val="center"/>
          </w:tcPr>
          <w:p w14:paraId="4E66162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地址</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 xml:space="preserve"> </w:t>
            </w:r>
            <w:r>
              <w:rPr>
                <w:rFonts w:hint="eastAsia" w:ascii="方正仿宋_GB2312" w:hAnsi="方正仿宋_GB2312" w:eastAsia="方正仿宋_GB2312" w:cs="方正仿宋_GB2312"/>
                <w:sz w:val="28"/>
                <w:szCs w:val="28"/>
                <w:highlight w:val="none"/>
                <w:lang w:val="en-US" w:eastAsia="zh-CN"/>
              </w:rPr>
              <w:t>安庆市岳西县天堂镇石桥村新新工贸综合楼1楼101号</w:t>
            </w:r>
          </w:p>
        </w:tc>
        <w:tc>
          <w:tcPr>
            <w:tcW w:w="5077" w:type="dxa"/>
            <w:tcBorders>
              <w:top w:val="single" w:color="auto" w:sz="4" w:space="0"/>
              <w:left w:val="single" w:color="auto" w:sz="4" w:space="0"/>
              <w:bottom w:val="single" w:color="auto" w:sz="4" w:space="0"/>
              <w:right w:val="single" w:color="auto" w:sz="4" w:space="0"/>
            </w:tcBorders>
            <w:vAlign w:val="center"/>
          </w:tcPr>
          <w:p w14:paraId="49DC0E6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地址：</w:t>
            </w:r>
          </w:p>
        </w:tc>
      </w:tr>
      <w:tr w14:paraId="60C4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70" w:type="dxa"/>
            <w:tcBorders>
              <w:top w:val="single" w:color="auto" w:sz="4" w:space="0"/>
              <w:left w:val="single" w:color="auto" w:sz="4" w:space="0"/>
              <w:bottom w:val="single" w:color="auto" w:sz="4" w:space="0"/>
              <w:right w:val="single" w:color="auto" w:sz="4" w:space="0"/>
            </w:tcBorders>
            <w:vAlign w:val="center"/>
          </w:tcPr>
          <w:p w14:paraId="77BAE35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联系人：</w:t>
            </w:r>
            <w:r>
              <w:rPr>
                <w:rFonts w:hint="eastAsia" w:ascii="方正仿宋_GB2312" w:hAnsi="方正仿宋_GB2312" w:eastAsia="方正仿宋_GB2312" w:cs="方正仿宋_GB2312"/>
                <w:sz w:val="28"/>
                <w:szCs w:val="28"/>
                <w:highlight w:val="none"/>
                <w:lang w:val="en-US" w:eastAsia="zh-CN"/>
              </w:rPr>
              <w:t>康强</w:t>
            </w:r>
          </w:p>
        </w:tc>
        <w:tc>
          <w:tcPr>
            <w:tcW w:w="5077" w:type="dxa"/>
            <w:tcBorders>
              <w:top w:val="single" w:color="auto" w:sz="4" w:space="0"/>
              <w:left w:val="single" w:color="auto" w:sz="4" w:space="0"/>
              <w:bottom w:val="single" w:color="auto" w:sz="4" w:space="0"/>
              <w:right w:val="single" w:color="auto" w:sz="4" w:space="0"/>
            </w:tcBorders>
            <w:vAlign w:val="center"/>
          </w:tcPr>
          <w:p w14:paraId="155A1F8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联系人：</w:t>
            </w:r>
          </w:p>
        </w:tc>
      </w:tr>
      <w:tr w14:paraId="40BE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70" w:type="dxa"/>
            <w:tcBorders>
              <w:top w:val="single" w:color="auto" w:sz="4" w:space="0"/>
              <w:left w:val="single" w:color="auto" w:sz="4" w:space="0"/>
              <w:bottom w:val="single" w:color="auto" w:sz="4" w:space="0"/>
              <w:right w:val="single" w:color="auto" w:sz="4" w:space="0"/>
            </w:tcBorders>
            <w:vAlign w:val="center"/>
          </w:tcPr>
          <w:p w14:paraId="6CB886E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联系电话</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15882441248</w:t>
            </w:r>
          </w:p>
        </w:tc>
        <w:tc>
          <w:tcPr>
            <w:tcW w:w="5077" w:type="dxa"/>
            <w:tcBorders>
              <w:top w:val="single" w:color="auto" w:sz="4" w:space="0"/>
              <w:left w:val="single" w:color="auto" w:sz="4" w:space="0"/>
              <w:bottom w:val="single" w:color="auto" w:sz="4" w:space="0"/>
              <w:right w:val="single" w:color="auto" w:sz="4" w:space="0"/>
            </w:tcBorders>
            <w:vAlign w:val="center"/>
          </w:tcPr>
          <w:p w14:paraId="575BFD5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联系电话</w:t>
            </w:r>
            <w:r>
              <w:rPr>
                <w:rFonts w:hint="eastAsia" w:ascii="方正仿宋_GB2312" w:hAnsi="方正仿宋_GB2312" w:eastAsia="方正仿宋_GB2312" w:cs="方正仿宋_GB2312"/>
                <w:sz w:val="28"/>
                <w:szCs w:val="28"/>
                <w:highlight w:val="none"/>
                <w:lang w:eastAsia="zh-CN"/>
              </w:rPr>
              <w:t>：</w:t>
            </w:r>
          </w:p>
        </w:tc>
      </w:tr>
      <w:tr w14:paraId="2160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70" w:type="dxa"/>
            <w:tcBorders>
              <w:top w:val="single" w:color="auto" w:sz="4" w:space="0"/>
              <w:left w:val="single" w:color="auto" w:sz="4" w:space="0"/>
              <w:bottom w:val="nil"/>
              <w:right w:val="single" w:color="auto" w:sz="4" w:space="0"/>
            </w:tcBorders>
            <w:vAlign w:val="center"/>
          </w:tcPr>
          <w:p w14:paraId="2FB3D00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开户银行</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 xml:space="preserve"> 中国农业银行股份有限公司岳西县支行</w:t>
            </w:r>
          </w:p>
        </w:tc>
        <w:tc>
          <w:tcPr>
            <w:tcW w:w="5077" w:type="dxa"/>
            <w:tcBorders>
              <w:top w:val="single" w:color="auto" w:sz="4" w:space="0"/>
              <w:left w:val="single" w:color="auto" w:sz="4" w:space="0"/>
              <w:bottom w:val="nil"/>
              <w:right w:val="single" w:color="auto" w:sz="4" w:space="0"/>
            </w:tcBorders>
            <w:vAlign w:val="center"/>
          </w:tcPr>
          <w:p w14:paraId="6F90E94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开户银行：</w:t>
            </w:r>
          </w:p>
        </w:tc>
      </w:tr>
      <w:tr w14:paraId="717D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70" w:type="dxa"/>
            <w:tcBorders>
              <w:top w:val="single" w:color="auto" w:sz="4" w:space="0"/>
              <w:left w:val="single" w:color="auto" w:sz="4" w:space="0"/>
              <w:bottom w:val="nil"/>
              <w:right w:val="single" w:color="auto" w:sz="4" w:space="0"/>
            </w:tcBorders>
            <w:vAlign w:val="center"/>
          </w:tcPr>
          <w:p w14:paraId="57B792C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账户名</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 xml:space="preserve"> 纵横（安庆）低空经济产业发展有限公司</w:t>
            </w:r>
          </w:p>
        </w:tc>
        <w:tc>
          <w:tcPr>
            <w:tcW w:w="5077" w:type="dxa"/>
            <w:tcBorders>
              <w:top w:val="single" w:color="auto" w:sz="4" w:space="0"/>
              <w:left w:val="single" w:color="auto" w:sz="4" w:space="0"/>
              <w:bottom w:val="nil"/>
              <w:right w:val="single" w:color="auto" w:sz="4" w:space="0"/>
            </w:tcBorders>
            <w:vAlign w:val="center"/>
          </w:tcPr>
          <w:p w14:paraId="34C0958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账户名</w:t>
            </w:r>
            <w:r>
              <w:rPr>
                <w:rFonts w:hint="eastAsia" w:ascii="方正仿宋_GB2312" w:hAnsi="方正仿宋_GB2312" w:eastAsia="方正仿宋_GB2312" w:cs="方正仿宋_GB2312"/>
                <w:sz w:val="28"/>
                <w:szCs w:val="28"/>
                <w:highlight w:val="none"/>
              </w:rPr>
              <w:t>：</w:t>
            </w:r>
          </w:p>
        </w:tc>
      </w:tr>
      <w:tr w14:paraId="661B3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5070" w:type="dxa"/>
            <w:tcBorders>
              <w:top w:val="single" w:color="auto" w:sz="4" w:space="0"/>
              <w:left w:val="single" w:color="auto" w:sz="4" w:space="0"/>
              <w:bottom w:val="single" w:color="auto" w:sz="4" w:space="0"/>
              <w:right w:val="single" w:color="auto" w:sz="4" w:space="0"/>
            </w:tcBorders>
            <w:vAlign w:val="center"/>
          </w:tcPr>
          <w:p w14:paraId="7751747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结算</w:t>
            </w:r>
            <w:r>
              <w:rPr>
                <w:rFonts w:hint="eastAsia" w:ascii="方正仿宋_GB2312" w:hAnsi="方正仿宋_GB2312" w:eastAsia="方正仿宋_GB2312" w:cs="方正仿宋_GB2312"/>
                <w:sz w:val="28"/>
                <w:szCs w:val="28"/>
                <w:highlight w:val="none"/>
                <w:lang w:eastAsia="zh-CN"/>
              </w:rPr>
              <w:t>账号：12857001040035141</w:t>
            </w:r>
          </w:p>
        </w:tc>
        <w:tc>
          <w:tcPr>
            <w:tcW w:w="5077" w:type="dxa"/>
            <w:tcBorders>
              <w:top w:val="single" w:color="auto" w:sz="4" w:space="0"/>
              <w:left w:val="single" w:color="auto" w:sz="4" w:space="0"/>
              <w:bottom w:val="single" w:color="auto" w:sz="4" w:space="0"/>
              <w:right w:val="single" w:color="auto" w:sz="4" w:space="0"/>
            </w:tcBorders>
            <w:vAlign w:val="center"/>
          </w:tcPr>
          <w:p w14:paraId="55B4A35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结算</w:t>
            </w:r>
            <w:r>
              <w:rPr>
                <w:rFonts w:hint="eastAsia" w:ascii="方正仿宋_GB2312" w:hAnsi="方正仿宋_GB2312" w:eastAsia="方正仿宋_GB2312" w:cs="方正仿宋_GB2312"/>
                <w:sz w:val="28"/>
                <w:szCs w:val="28"/>
                <w:highlight w:val="none"/>
                <w:lang w:eastAsia="zh-CN"/>
              </w:rPr>
              <w:t>账号</w:t>
            </w:r>
            <w:r>
              <w:rPr>
                <w:rFonts w:hint="eastAsia" w:ascii="方正仿宋_GB2312" w:hAnsi="方正仿宋_GB2312" w:eastAsia="方正仿宋_GB2312" w:cs="方正仿宋_GB2312"/>
                <w:sz w:val="28"/>
                <w:szCs w:val="28"/>
                <w:highlight w:val="none"/>
              </w:rPr>
              <w:t>：</w:t>
            </w:r>
          </w:p>
        </w:tc>
      </w:tr>
      <w:tr w14:paraId="4CE0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70" w:type="dxa"/>
            <w:tcBorders>
              <w:top w:val="single" w:color="auto" w:sz="4" w:space="0"/>
              <w:left w:val="single" w:color="auto" w:sz="4" w:space="0"/>
              <w:bottom w:val="single" w:color="auto" w:sz="4" w:space="0"/>
              <w:right w:val="single" w:color="auto" w:sz="4" w:space="0"/>
            </w:tcBorders>
            <w:vAlign w:val="center"/>
          </w:tcPr>
          <w:p w14:paraId="161530A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纳税人识别号：</w:t>
            </w:r>
            <w:r>
              <w:rPr>
                <w:rFonts w:hint="eastAsia" w:ascii="方正仿宋_GB2312" w:hAnsi="方正仿宋_GB2312" w:eastAsia="方正仿宋_GB2312" w:cs="方正仿宋_GB2312"/>
                <w:sz w:val="28"/>
                <w:szCs w:val="28"/>
                <w:highlight w:val="none"/>
                <w:lang w:val="en-US" w:eastAsia="zh-CN"/>
              </w:rPr>
              <w:t xml:space="preserve"> 91340828MAKJ16P44H</w:t>
            </w:r>
          </w:p>
        </w:tc>
        <w:tc>
          <w:tcPr>
            <w:tcW w:w="5077" w:type="dxa"/>
            <w:tcBorders>
              <w:top w:val="single" w:color="auto" w:sz="4" w:space="0"/>
              <w:left w:val="single" w:color="auto" w:sz="4" w:space="0"/>
              <w:bottom w:val="single" w:color="auto" w:sz="4" w:space="0"/>
              <w:right w:val="single" w:color="auto" w:sz="4" w:space="0"/>
            </w:tcBorders>
            <w:vAlign w:val="center"/>
          </w:tcPr>
          <w:p w14:paraId="6C8E85A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纳税人识别号：</w:t>
            </w:r>
          </w:p>
        </w:tc>
      </w:tr>
    </w:tbl>
    <w:p w14:paraId="4B269254">
      <w:pPr>
        <w:rPr>
          <w:rFonts w:hint="default" w:ascii="宋体" w:hAnsi="宋体" w:eastAsia="宋体" w:cs="宋体"/>
          <w:sz w:val="28"/>
          <w:szCs w:val="28"/>
          <w:highlight w:val="none"/>
          <w:lang w:val="en-US" w:eastAsia="zh-CN"/>
        </w:rPr>
      </w:pPr>
    </w:p>
    <w:sectPr>
      <w:footerReference r:id="rId4" w:type="default"/>
      <w:pgSz w:w="11906" w:h="16838"/>
      <w:pgMar w:top="1440" w:right="1800" w:bottom="1440" w:left="1800" w:header="794"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embedRegular r:id="rId1" w:fontKey="{5CFA72C1-5E71-4D98-8084-181F14183FD2}"/>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2" w:fontKey="{EC4B44EF-379B-4C53-9D27-BEAAE46A2984}"/>
  </w:font>
  <w:font w:name="方正小标宋简体">
    <w:panose1 w:val="02000000000000000000"/>
    <w:charset w:val="86"/>
    <w:family w:val="auto"/>
    <w:pitch w:val="default"/>
    <w:sig w:usb0="00000001" w:usb1="08000000" w:usb2="00000000" w:usb3="00000000" w:csb0="00040000" w:csb1="00000000"/>
    <w:embedRegular r:id="rId3" w:fontKey="{C88B865F-5C97-43EF-87C4-99D39EEFDD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F23F1">
    <w:pPr>
      <w:pStyle w:val="8"/>
      <w:pBdr>
        <w:top w:val="none" w:color="A5A5A5" w:themeColor="accent3" w:sz="0" w:space="5"/>
        <w:left w:val="none" w:color="auto" w:sz="0" w:space="0"/>
        <w:bottom w:val="none" w:color="auto" w:sz="0" w:space="0"/>
        <w:right w:val="none" w:color="auto" w:sz="0" w:space="0"/>
        <w:between w:val="none" w:color="auto" w:sz="0" w:space="0"/>
      </w:pBdr>
      <w:ind w:right="360"/>
      <w:rPr>
        <w:rFonts w:hint="default" w:ascii="宋体" w:hAnsi="宋体" w:eastAsia="宋体" w:cs="宋体"/>
        <w:b/>
        <w:iCs/>
        <w:color w:val="8C8C8C" w:themeColor="background1" w:themeShade="8C"/>
        <w:sz w:val="21"/>
        <w:szCs w:val="21"/>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margin">
                <wp:posOffset>1967230</wp:posOffset>
              </wp:positionH>
              <wp:positionV relativeFrom="paragraph">
                <wp:posOffset>-88265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D9CE5">
                          <w:pPr>
                            <w:pStyle w:val="8"/>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54.9pt;margin-top:-6.95pt;height:144pt;width:144pt;mso-position-horizontal-relative:margin;mso-wrap-style:none;z-index:251659264;mso-width-relative:page;mso-height-relative:page;" filled="f" stroked="f" coordsize="21600,21600" o:gfxdata="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l84iTZAAAACw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14:paraId="61BD9CE5">
                    <w:pPr>
                      <w:pStyle w:val="8"/>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28B8E">
    <w:pPr>
      <w:pStyle w:val="8"/>
      <w:pBdr>
        <w:top w:val="none" w:color="A5A5A5" w:themeColor="accent3" w:sz="0" w:space="5"/>
        <w:left w:val="none" w:color="auto" w:sz="0" w:space="0"/>
        <w:bottom w:val="none" w:color="auto" w:sz="0" w:space="0"/>
        <w:right w:val="none" w:color="auto" w:sz="0" w:space="0"/>
        <w:between w:val="none" w:color="auto" w:sz="0" w:space="0"/>
      </w:pBdr>
      <w:ind w:right="360"/>
      <w:rPr>
        <w:rFonts w:hint="default" w:ascii="宋体" w:hAnsi="宋体" w:eastAsia="宋体" w:cs="宋体"/>
        <w:b/>
        <w:iCs/>
        <w:color w:val="8C8C8C" w:themeColor="background1" w:themeShade="8C"/>
        <w:sz w:val="21"/>
        <w:szCs w:val="21"/>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57F6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4457F6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58855"/>
    <w:multiLevelType w:val="singleLevel"/>
    <w:tmpl w:val="91758855"/>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1">
    <w:nsid w:val="9C177FC0"/>
    <w:multiLevelType w:val="singleLevel"/>
    <w:tmpl w:val="9C177FC0"/>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2">
    <w:nsid w:val="9EDEA559"/>
    <w:multiLevelType w:val="singleLevel"/>
    <w:tmpl w:val="9EDEA559"/>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3">
    <w:nsid w:val="A3CC19CC"/>
    <w:multiLevelType w:val="singleLevel"/>
    <w:tmpl w:val="A3CC19CC"/>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4">
    <w:nsid w:val="B34F56BC"/>
    <w:multiLevelType w:val="singleLevel"/>
    <w:tmpl w:val="B34F56BC"/>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5">
    <w:nsid w:val="DD265188"/>
    <w:multiLevelType w:val="singleLevel"/>
    <w:tmpl w:val="DD265188"/>
    <w:lvl w:ilvl="0" w:tentative="0">
      <w:start w:val="1"/>
      <w:numFmt w:val="lowerLetter"/>
      <w:suff w:val="nothing"/>
      <w:lvlText w:val="%1."/>
      <w:lvlJc w:val="left"/>
      <w:pPr>
        <w:ind w:left="0" w:leftChars="0" w:firstLine="0" w:firstLineChars="0"/>
      </w:pPr>
      <w:rPr>
        <w:rFonts w:hint="default"/>
        <w:sz w:val="28"/>
        <w:szCs w:val="28"/>
      </w:rPr>
    </w:lvl>
  </w:abstractNum>
  <w:abstractNum w:abstractNumId="6">
    <w:nsid w:val="E1E86235"/>
    <w:multiLevelType w:val="singleLevel"/>
    <w:tmpl w:val="E1E86235"/>
    <w:lvl w:ilvl="0" w:tentative="0">
      <w:start w:val="1"/>
      <w:numFmt w:val="decimal"/>
      <w:lvlText w:val="%1."/>
      <w:lvlJc w:val="left"/>
      <w:pPr>
        <w:tabs>
          <w:tab w:val="left" w:pos="312"/>
        </w:tabs>
      </w:pPr>
      <w:rPr>
        <w:rFonts w:hint="default" w:ascii="Times New Roman" w:hAnsi="Times New Roman" w:eastAsia="宋体" w:cs="Times New Roman"/>
        <w:b/>
        <w:bCs/>
        <w:color w:val="auto"/>
        <w:sz w:val="28"/>
        <w:szCs w:val="28"/>
      </w:rPr>
    </w:lvl>
  </w:abstractNum>
  <w:abstractNum w:abstractNumId="7">
    <w:nsid w:val="E7D25B6E"/>
    <w:multiLevelType w:val="singleLevel"/>
    <w:tmpl w:val="E7D25B6E"/>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8">
    <w:nsid w:val="1982CC08"/>
    <w:multiLevelType w:val="singleLevel"/>
    <w:tmpl w:val="1982CC08"/>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9">
    <w:nsid w:val="19EB084D"/>
    <w:multiLevelType w:val="singleLevel"/>
    <w:tmpl w:val="19EB084D"/>
    <w:lvl w:ilvl="0" w:tentative="0">
      <w:start w:val="1"/>
      <w:numFmt w:val="lowerLetter"/>
      <w:suff w:val="nothing"/>
      <w:lvlText w:val="%1."/>
      <w:lvlJc w:val="left"/>
      <w:pPr>
        <w:ind w:left="0" w:leftChars="0" w:firstLine="0" w:firstLineChars="0"/>
      </w:pPr>
      <w:rPr>
        <w:rFonts w:hint="default"/>
        <w:sz w:val="28"/>
        <w:szCs w:val="28"/>
      </w:rPr>
    </w:lvl>
  </w:abstractNum>
  <w:abstractNum w:abstractNumId="10">
    <w:nsid w:val="31225EBE"/>
    <w:multiLevelType w:val="singleLevel"/>
    <w:tmpl w:val="31225EBE"/>
    <w:lvl w:ilvl="0" w:tentative="0">
      <w:start w:val="1"/>
      <w:numFmt w:val="chineseCounting"/>
      <w:suff w:val="nothing"/>
      <w:lvlText w:val="%1、"/>
      <w:lvlJc w:val="left"/>
      <w:pPr>
        <w:ind w:left="0" w:firstLine="0"/>
      </w:pPr>
      <w:rPr>
        <w:rFonts w:hint="eastAsia" w:ascii="宋体" w:hAnsi="宋体" w:eastAsia="宋体" w:cs="宋体"/>
        <w:b/>
        <w:bCs/>
        <w:sz w:val="28"/>
        <w:szCs w:val="28"/>
      </w:rPr>
    </w:lvl>
  </w:abstractNum>
  <w:abstractNum w:abstractNumId="11">
    <w:nsid w:val="3E354568"/>
    <w:multiLevelType w:val="singleLevel"/>
    <w:tmpl w:val="3E354568"/>
    <w:lvl w:ilvl="0" w:tentative="0">
      <w:start w:val="1"/>
      <w:numFmt w:val="decimal"/>
      <w:suff w:val="nothing"/>
      <w:lvlText w:val="%1."/>
      <w:lvlJc w:val="left"/>
      <w:pPr>
        <w:ind w:left="0" w:leftChars="0" w:firstLine="0" w:firstLineChars="0"/>
      </w:pPr>
      <w:rPr>
        <w:rFonts w:hint="default" w:ascii="Times New Roman" w:hAnsi="Times New Roman" w:eastAsia="宋体" w:cs="Times New Roman"/>
        <w:b w:val="0"/>
        <w:bCs w:val="0"/>
        <w:sz w:val="28"/>
        <w:szCs w:val="28"/>
      </w:rPr>
    </w:lvl>
  </w:abstractNum>
  <w:abstractNum w:abstractNumId="12">
    <w:nsid w:val="3E9B1847"/>
    <w:multiLevelType w:val="singleLevel"/>
    <w:tmpl w:val="3E9B1847"/>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abstractNum w:abstractNumId="13">
    <w:nsid w:val="60A5B1E6"/>
    <w:multiLevelType w:val="singleLevel"/>
    <w:tmpl w:val="60A5B1E6"/>
    <w:lvl w:ilvl="0" w:tentative="0">
      <w:start w:val="1"/>
      <w:numFmt w:val="decimal"/>
      <w:lvlText w:val="%1."/>
      <w:lvlJc w:val="left"/>
      <w:pPr>
        <w:tabs>
          <w:tab w:val="left" w:pos="312"/>
        </w:tabs>
      </w:pPr>
      <w:rPr>
        <w:rFonts w:hint="default" w:ascii="Times New Roman" w:hAnsi="Times New Roman" w:eastAsia="宋体" w:cs="Times New Roman"/>
        <w:b/>
        <w:bCs/>
        <w:sz w:val="28"/>
        <w:szCs w:val="28"/>
      </w:rPr>
    </w:lvl>
  </w:abstractNum>
  <w:num w:numId="1">
    <w:abstractNumId w:val="10"/>
  </w:num>
  <w:num w:numId="2">
    <w:abstractNumId w:val="11"/>
  </w:num>
  <w:num w:numId="3">
    <w:abstractNumId w:val="6"/>
  </w:num>
  <w:num w:numId="4">
    <w:abstractNumId w:val="1"/>
  </w:num>
  <w:num w:numId="5">
    <w:abstractNumId w:val="8"/>
  </w:num>
  <w:num w:numId="6">
    <w:abstractNumId w:val="3"/>
  </w:num>
  <w:num w:numId="7">
    <w:abstractNumId w:val="7"/>
  </w:num>
  <w:num w:numId="8">
    <w:abstractNumId w:val="0"/>
  </w:num>
  <w:num w:numId="9">
    <w:abstractNumId w:val="5"/>
  </w:num>
  <w:num w:numId="10">
    <w:abstractNumId w:val="9"/>
  </w:num>
  <w:num w:numId="11">
    <w:abstractNumId w:val="2"/>
  </w:num>
  <w:num w:numId="12">
    <w:abstractNumId w:val="4"/>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yMmQxNmEzMzc5OGZiZWI2MGVhMDBjYjBmZWI2NjMifQ=="/>
  </w:docVars>
  <w:rsids>
    <w:rsidRoot w:val="30FC20AF"/>
    <w:rsid w:val="0005154C"/>
    <w:rsid w:val="000D0831"/>
    <w:rsid w:val="001318D8"/>
    <w:rsid w:val="001376F9"/>
    <w:rsid w:val="00266C31"/>
    <w:rsid w:val="00284B8E"/>
    <w:rsid w:val="002851D8"/>
    <w:rsid w:val="003615F9"/>
    <w:rsid w:val="00404430"/>
    <w:rsid w:val="00417039"/>
    <w:rsid w:val="00443EA5"/>
    <w:rsid w:val="00522453"/>
    <w:rsid w:val="006B7C04"/>
    <w:rsid w:val="0074698E"/>
    <w:rsid w:val="00856B45"/>
    <w:rsid w:val="008C24D9"/>
    <w:rsid w:val="008D078A"/>
    <w:rsid w:val="0099303C"/>
    <w:rsid w:val="00A4303C"/>
    <w:rsid w:val="00A91AC7"/>
    <w:rsid w:val="00AA1C87"/>
    <w:rsid w:val="00AB60EA"/>
    <w:rsid w:val="00B91E46"/>
    <w:rsid w:val="00C240D7"/>
    <w:rsid w:val="00CA70D7"/>
    <w:rsid w:val="00CA7BA1"/>
    <w:rsid w:val="00D65F8D"/>
    <w:rsid w:val="00DE5BA7"/>
    <w:rsid w:val="00E1023A"/>
    <w:rsid w:val="00E458B6"/>
    <w:rsid w:val="00F44420"/>
    <w:rsid w:val="00F83F13"/>
    <w:rsid w:val="00FF002B"/>
    <w:rsid w:val="018C4316"/>
    <w:rsid w:val="03934060"/>
    <w:rsid w:val="04180001"/>
    <w:rsid w:val="048A40E6"/>
    <w:rsid w:val="04A24E37"/>
    <w:rsid w:val="05746676"/>
    <w:rsid w:val="05CA626D"/>
    <w:rsid w:val="05EC7B4B"/>
    <w:rsid w:val="067B5924"/>
    <w:rsid w:val="06F664F2"/>
    <w:rsid w:val="07D548EA"/>
    <w:rsid w:val="094A67A7"/>
    <w:rsid w:val="0A907632"/>
    <w:rsid w:val="0AB51EAB"/>
    <w:rsid w:val="0B151B7B"/>
    <w:rsid w:val="0B1D0A43"/>
    <w:rsid w:val="0CDA6460"/>
    <w:rsid w:val="0D862B9A"/>
    <w:rsid w:val="0F343DEB"/>
    <w:rsid w:val="0F357BC3"/>
    <w:rsid w:val="10057BA5"/>
    <w:rsid w:val="11064D18"/>
    <w:rsid w:val="112C16B6"/>
    <w:rsid w:val="119E69ED"/>
    <w:rsid w:val="11D9545D"/>
    <w:rsid w:val="123A34D3"/>
    <w:rsid w:val="12860728"/>
    <w:rsid w:val="150A7350"/>
    <w:rsid w:val="183D088F"/>
    <w:rsid w:val="19941776"/>
    <w:rsid w:val="19EF4CC2"/>
    <w:rsid w:val="1A41695D"/>
    <w:rsid w:val="1A741458"/>
    <w:rsid w:val="1A9C424D"/>
    <w:rsid w:val="1B2A271F"/>
    <w:rsid w:val="1D2C40F7"/>
    <w:rsid w:val="1D6F092C"/>
    <w:rsid w:val="1EA34150"/>
    <w:rsid w:val="1FF94404"/>
    <w:rsid w:val="209D5DA1"/>
    <w:rsid w:val="228D6D83"/>
    <w:rsid w:val="24D47FE8"/>
    <w:rsid w:val="269C69BC"/>
    <w:rsid w:val="273D486E"/>
    <w:rsid w:val="281A2463"/>
    <w:rsid w:val="2939139A"/>
    <w:rsid w:val="296A782E"/>
    <w:rsid w:val="29DC0CA0"/>
    <w:rsid w:val="2A42528E"/>
    <w:rsid w:val="2B3A41D9"/>
    <w:rsid w:val="2B8149E0"/>
    <w:rsid w:val="2C962369"/>
    <w:rsid w:val="2D6D10C0"/>
    <w:rsid w:val="2D755389"/>
    <w:rsid w:val="2E2E299E"/>
    <w:rsid w:val="2F142F3D"/>
    <w:rsid w:val="2FC736C3"/>
    <w:rsid w:val="2FD82F0E"/>
    <w:rsid w:val="30E31D06"/>
    <w:rsid w:val="30FC20AF"/>
    <w:rsid w:val="31792492"/>
    <w:rsid w:val="31C72739"/>
    <w:rsid w:val="33007216"/>
    <w:rsid w:val="344D7EE7"/>
    <w:rsid w:val="35A973C7"/>
    <w:rsid w:val="364044F5"/>
    <w:rsid w:val="37985A59"/>
    <w:rsid w:val="37F94635"/>
    <w:rsid w:val="3A0472C2"/>
    <w:rsid w:val="3A9A3175"/>
    <w:rsid w:val="3AA30586"/>
    <w:rsid w:val="3B46732F"/>
    <w:rsid w:val="3E17111E"/>
    <w:rsid w:val="40ED7854"/>
    <w:rsid w:val="41224CCF"/>
    <w:rsid w:val="41483DD7"/>
    <w:rsid w:val="41673A39"/>
    <w:rsid w:val="41CF5D58"/>
    <w:rsid w:val="438E41F6"/>
    <w:rsid w:val="43AC07C0"/>
    <w:rsid w:val="463A4797"/>
    <w:rsid w:val="46A55795"/>
    <w:rsid w:val="46D66261"/>
    <w:rsid w:val="47173278"/>
    <w:rsid w:val="473C453F"/>
    <w:rsid w:val="4A9138D3"/>
    <w:rsid w:val="4B0E0BCC"/>
    <w:rsid w:val="4C634BAB"/>
    <w:rsid w:val="4E0F044D"/>
    <w:rsid w:val="4EA93A30"/>
    <w:rsid w:val="4F077D76"/>
    <w:rsid w:val="4F316768"/>
    <w:rsid w:val="50CA062B"/>
    <w:rsid w:val="50DB3CA0"/>
    <w:rsid w:val="51323D7A"/>
    <w:rsid w:val="516E3547"/>
    <w:rsid w:val="51D62267"/>
    <w:rsid w:val="53B25189"/>
    <w:rsid w:val="55082457"/>
    <w:rsid w:val="560545FE"/>
    <w:rsid w:val="56A22460"/>
    <w:rsid w:val="574148A2"/>
    <w:rsid w:val="57973475"/>
    <w:rsid w:val="57A92940"/>
    <w:rsid w:val="599014FB"/>
    <w:rsid w:val="5B8F0C89"/>
    <w:rsid w:val="5C0840CF"/>
    <w:rsid w:val="5C0A4C04"/>
    <w:rsid w:val="5CD54182"/>
    <w:rsid w:val="5DA94D40"/>
    <w:rsid w:val="5E7633CF"/>
    <w:rsid w:val="5EBB05CA"/>
    <w:rsid w:val="5F3D50C8"/>
    <w:rsid w:val="5F6B607B"/>
    <w:rsid w:val="646237BE"/>
    <w:rsid w:val="64E93365"/>
    <w:rsid w:val="64F614DE"/>
    <w:rsid w:val="660E4AFE"/>
    <w:rsid w:val="661E5528"/>
    <w:rsid w:val="6733468D"/>
    <w:rsid w:val="6A046BF3"/>
    <w:rsid w:val="6A635744"/>
    <w:rsid w:val="6AA5343C"/>
    <w:rsid w:val="6AF12A3B"/>
    <w:rsid w:val="6BC229B5"/>
    <w:rsid w:val="6D85446F"/>
    <w:rsid w:val="6E337B9A"/>
    <w:rsid w:val="6E9D190A"/>
    <w:rsid w:val="6FDD3A8E"/>
    <w:rsid w:val="715C087E"/>
    <w:rsid w:val="72D06EB7"/>
    <w:rsid w:val="73A81F4C"/>
    <w:rsid w:val="73E7659F"/>
    <w:rsid w:val="77076368"/>
    <w:rsid w:val="797E12A5"/>
    <w:rsid w:val="798D460C"/>
    <w:rsid w:val="799242CB"/>
    <w:rsid w:val="7A645B58"/>
    <w:rsid w:val="7BCF4946"/>
    <w:rsid w:val="7C1B461C"/>
    <w:rsid w:val="7CC7243D"/>
    <w:rsid w:val="7E244D5C"/>
    <w:rsid w:val="7EE84E7B"/>
    <w:rsid w:val="7FD3448A"/>
    <w:rsid w:val="7FE452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44"/>
    </w:rPr>
  </w:style>
  <w:style w:type="paragraph" w:styleId="3">
    <w:name w:val="heading 3"/>
    <w:basedOn w:val="1"/>
    <w:next w:val="1"/>
    <w:qFormat/>
    <w:uiPriority w:val="0"/>
    <w:pPr>
      <w:keepNext/>
      <w:outlineLvl w:val="2"/>
    </w:pPr>
    <w:rPr>
      <w:i/>
      <w:iCs/>
      <w:color w:val="000000"/>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unhideWhenUsed/>
    <w:qFormat/>
    <w:uiPriority w:val="1"/>
    <w:pPr>
      <w:spacing w:beforeLines="0" w:afterLines="0"/>
    </w:pPr>
    <w:rPr>
      <w:rFonts w:hint="eastAsia" w:ascii="楷体" w:hAnsi="楷体" w:eastAsia="楷体"/>
      <w:sz w:val="30"/>
      <w:szCs w:val="24"/>
    </w:rPr>
  </w:style>
  <w:style w:type="paragraph" w:styleId="5">
    <w:name w:val="Body Text Indent"/>
    <w:basedOn w:val="1"/>
    <w:qFormat/>
    <w:uiPriority w:val="0"/>
    <w:pPr>
      <w:spacing w:after="120"/>
      <w:ind w:left="420" w:leftChars="200"/>
    </w:pPr>
  </w:style>
  <w:style w:type="paragraph" w:styleId="6">
    <w:name w:val="Plain Text"/>
    <w:basedOn w:val="1"/>
    <w:qFormat/>
    <w:uiPriority w:val="0"/>
    <w:rPr>
      <w:rFonts w:ascii="宋体" w:hAnsi="Courier New"/>
      <w:kern w:val="0"/>
      <w:szCs w:val="20"/>
    </w:rPr>
  </w:style>
  <w:style w:type="paragraph" w:styleId="7">
    <w:name w:val="Balloon Text"/>
    <w:basedOn w:val="1"/>
    <w:link w:val="18"/>
    <w:qFormat/>
    <w:uiPriority w:val="0"/>
    <w:rPr>
      <w:sz w:val="18"/>
      <w:szCs w:val="18"/>
    </w:rPr>
  </w:style>
  <w:style w:type="paragraph" w:styleId="8">
    <w:name w:val="footer"/>
    <w:basedOn w:val="1"/>
    <w:link w:val="20"/>
    <w:autoRedefine/>
    <w:qFormat/>
    <w:uiPriority w:val="99"/>
    <w:pPr>
      <w:tabs>
        <w:tab w:val="center" w:pos="4153"/>
        <w:tab w:val="right" w:pos="8306"/>
      </w:tabs>
      <w:snapToGrid w:val="0"/>
      <w:jc w:val="left"/>
    </w:pPr>
    <w:rPr>
      <w:sz w:val="18"/>
    </w:rPr>
  </w:style>
  <w:style w:type="paragraph" w:styleId="9">
    <w:name w:val="header"/>
    <w:basedOn w:val="1"/>
    <w:link w:val="1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Body Text First Indent 2"/>
    <w:basedOn w:val="5"/>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autoRedefine/>
    <w:qFormat/>
    <w:uiPriority w:val="99"/>
    <w:rPr>
      <w:color w:val="0000FF"/>
      <w:u w:val="single"/>
    </w:rPr>
  </w:style>
  <w:style w:type="paragraph" w:customStyle="1" w:styleId="16">
    <w:name w:val="正文 New"/>
    <w:basedOn w:val="1"/>
    <w:qFormat/>
    <w:uiPriority w:val="0"/>
    <w:pPr>
      <w:spacing w:before="100" w:beforeAutospacing="1" w:after="100" w:afterAutospacing="1" w:line="440" w:lineRule="exact"/>
      <w:ind w:left="357" w:hanging="357"/>
    </w:pPr>
    <w:rPr>
      <w:szCs w:val="21"/>
    </w:rPr>
  </w:style>
  <w:style w:type="paragraph" w:customStyle="1" w:styleId="1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8">
    <w:name w:val="批注框文本 Char"/>
    <w:basedOn w:val="13"/>
    <w:link w:val="7"/>
    <w:autoRedefine/>
    <w:qFormat/>
    <w:uiPriority w:val="0"/>
    <w:rPr>
      <w:kern w:val="2"/>
      <w:sz w:val="18"/>
      <w:szCs w:val="18"/>
    </w:rPr>
  </w:style>
  <w:style w:type="character" w:customStyle="1" w:styleId="19">
    <w:name w:val="页眉 Char"/>
    <w:basedOn w:val="13"/>
    <w:link w:val="9"/>
    <w:autoRedefine/>
    <w:qFormat/>
    <w:uiPriority w:val="99"/>
    <w:rPr>
      <w:kern w:val="2"/>
      <w:sz w:val="18"/>
      <w:szCs w:val="24"/>
    </w:rPr>
  </w:style>
  <w:style w:type="character" w:customStyle="1" w:styleId="20">
    <w:name w:val="页脚 Char"/>
    <w:basedOn w:val="13"/>
    <w:link w:val="8"/>
    <w:autoRedefine/>
    <w:qFormat/>
    <w:uiPriority w:val="99"/>
    <w:rPr>
      <w:kern w:val="2"/>
      <w:sz w:val="18"/>
      <w:szCs w:val="24"/>
    </w:rPr>
  </w:style>
  <w:style w:type="paragraph" w:customStyle="1" w:styleId="21">
    <w:name w:val="Table Paragraph"/>
    <w:basedOn w:val="1"/>
    <w:autoRedefine/>
    <w:qFormat/>
    <w:uiPriority w:val="1"/>
    <w:pPr>
      <w:autoSpaceDE w:val="0"/>
      <w:autoSpaceDN w:val="0"/>
      <w:spacing w:before="3"/>
      <w:ind w:left="107"/>
      <w:jc w:val="center"/>
    </w:pPr>
    <w:rPr>
      <w:rFonts w:ascii="等线" w:hAnsi="等线" w:eastAsia="等线" w:cs="等线"/>
      <w:kern w:val="0"/>
      <w:sz w:val="22"/>
      <w:szCs w:val="22"/>
      <w:lang w:eastAsia="en-US"/>
    </w:rPr>
  </w:style>
  <w:style w:type="paragraph" w:customStyle="1" w:styleId="22">
    <w:name w:val="Table Text"/>
    <w:basedOn w:val="1"/>
    <w:autoRedefine/>
    <w:semiHidden/>
    <w:qFormat/>
    <w:uiPriority w:val="0"/>
    <w:rPr>
      <w:rFonts w:ascii="宋体" w:hAnsi="宋体" w:eastAsia="宋体" w:cs="宋体"/>
      <w:sz w:val="20"/>
      <w:szCs w:val="20"/>
      <w:lang w:val="en-US" w:eastAsia="en-US" w:bidi="ar-SA"/>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character" w:customStyle="1" w:styleId="24">
    <w:name w:val="font11"/>
    <w:basedOn w:val="13"/>
    <w:autoRedefine/>
    <w:qFormat/>
    <w:uiPriority w:val="0"/>
    <w:rPr>
      <w:rFonts w:hint="eastAsia" w:ascii="宋体" w:hAnsi="宋体" w:eastAsia="宋体" w:cs="宋体"/>
      <w:color w:val="000000"/>
      <w:sz w:val="22"/>
      <w:szCs w:val="22"/>
      <w:u w:val="none"/>
    </w:rPr>
  </w:style>
  <w:style w:type="character" w:customStyle="1" w:styleId="25">
    <w:name w:val="font31"/>
    <w:basedOn w:val="13"/>
    <w:autoRedefine/>
    <w:qFormat/>
    <w:uiPriority w:val="0"/>
    <w:rPr>
      <w:rFonts w:hint="eastAsia" w:ascii="宋体" w:hAnsi="宋体" w:eastAsia="宋体" w:cs="宋体"/>
      <w:color w:val="FF0000"/>
      <w:sz w:val="22"/>
      <w:szCs w:val="22"/>
      <w:u w:val="none"/>
    </w:rPr>
  </w:style>
  <w:style w:type="character" w:customStyle="1" w:styleId="26">
    <w:name w:val="font21"/>
    <w:basedOn w:val="13"/>
    <w:autoRedefine/>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33e7aa15-cffb-4fde-adb2-1b2bd2d2bd3b</errorID>
      <errorWord>其它</errorWord>
      <group>L1_Word</group>
      <groupName>字词问题</groupName>
      <ability>L2_Alias</ability>
      <abilityName>也作/曾用词</abilityName>
      <candidateList>
        <item>其他</item>
      </candidateList>
      <explain>词汇[其它]为不规范表述或旧称，其规范书面表述为[其他]。</explain>
      <paraID> 41EAD51</paraID>
      <start>30</start>
      <end>32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05c25c-fa71-4ef0-ac0b-98b891d488e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3914</Words>
  <Characters>4028</Characters>
  <Lines>11</Lines>
  <Paragraphs>3</Paragraphs>
  <TotalTime>74</TotalTime>
  <ScaleCrop>false</ScaleCrop>
  <LinksUpToDate>false</LinksUpToDate>
  <CharactersWithSpaces>4240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2021-09-01T01:17:00Z</dcterms:created>
  <dc:creator>禾木程</dc:creator>
  <cp:lastModifiedBy>WPS_1761901434</cp:lastModifiedBy>
  <cp:lastPrinted>2026-08-18T01:04:00Z</cp:lastPrinted>
  <dcterms:modified xsi:type="dcterms:W3CDTF">2026-09-15T03:34:24Z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A8DC770B24924958BF9B7CCD8520A573_13</vt:lpwstr>
  </property>
  <property fmtid="{D5CDD505-2E9C-101B-9397-08002B2CF9AE}" pid="4" name="KSOTemplateDocerSaveRecord">
    <vt:lpwstr>eyJoZGlkIjoiYjY1MzM2MGVhMTFmNmRkMzEyNTM5MWJkOTMwMTFkYmEiLCJ1c2VySWQiOiIxNzY0MTgwNjc0In0=</vt:lpwstr>
  </property>
</Properties>
</file>